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DD" w:rsidRDefault="007A14DD" w:rsidP="007A14DD">
      <w:pPr>
        <w:pStyle w:val="ConsPlusTitlePage"/>
        <w:jc w:val="right"/>
      </w:pPr>
      <w:r>
        <w:rPr>
          <w:sz w:val="22"/>
        </w:rPr>
        <w:t>УТВЕРЖДЕНЫ</w:t>
      </w:r>
    </w:p>
    <w:p w:rsidR="007A14DD" w:rsidRDefault="007A14DD">
      <w:pPr>
        <w:pStyle w:val="ConsPlusNormal"/>
        <w:jc w:val="right"/>
      </w:pPr>
      <w:r>
        <w:t>решением совета депутатов</w:t>
      </w:r>
    </w:p>
    <w:p w:rsidR="007A14DD" w:rsidRDefault="007A14DD">
      <w:pPr>
        <w:pStyle w:val="ConsPlusNormal"/>
        <w:jc w:val="right"/>
      </w:pPr>
      <w:r>
        <w:t>муниципального образования</w:t>
      </w:r>
    </w:p>
    <w:p w:rsidR="007A14DD" w:rsidRDefault="007A14DD">
      <w:pPr>
        <w:pStyle w:val="ConsPlusNormal"/>
        <w:jc w:val="right"/>
      </w:pPr>
      <w:proofErr w:type="spellStart"/>
      <w:r>
        <w:t>Лодейнопольский</w:t>
      </w:r>
      <w:proofErr w:type="spellEnd"/>
      <w:r>
        <w:t xml:space="preserve"> муниципальный район</w:t>
      </w:r>
    </w:p>
    <w:p w:rsidR="007A14DD" w:rsidRDefault="007A14DD">
      <w:pPr>
        <w:pStyle w:val="ConsPlusNormal"/>
        <w:jc w:val="right"/>
      </w:pPr>
      <w:r>
        <w:t>Ленинградской области</w:t>
      </w:r>
    </w:p>
    <w:p w:rsidR="007A14DD" w:rsidRDefault="007A14DD">
      <w:pPr>
        <w:pStyle w:val="ConsPlusNormal"/>
        <w:jc w:val="right"/>
      </w:pPr>
      <w:r>
        <w:t>от 26.05.2020 N 74</w:t>
      </w:r>
    </w:p>
    <w:p w:rsidR="007A14DD" w:rsidRDefault="007A14DD">
      <w:pPr>
        <w:pStyle w:val="ConsPlusNormal"/>
        <w:jc w:val="right"/>
      </w:pPr>
      <w:r>
        <w:t>(приложение)</w:t>
      </w:r>
    </w:p>
    <w:p w:rsidR="007A14DD" w:rsidRDefault="007A14DD">
      <w:pPr>
        <w:pStyle w:val="ConsPlusNormal"/>
        <w:jc w:val="right"/>
      </w:pPr>
    </w:p>
    <w:p w:rsidR="007A14DD" w:rsidRDefault="007A14DD">
      <w:pPr>
        <w:pStyle w:val="ConsPlusTitle"/>
        <w:jc w:val="center"/>
      </w:pPr>
      <w:bookmarkStart w:id="0" w:name="P38"/>
      <w:bookmarkEnd w:id="0"/>
      <w:r>
        <w:t>ЗНАЧЕНИЯ КОРРЕКТИРУЮЩИХ КОЭФФИЦИЕНТОВ К</w:t>
      </w:r>
      <w:proofErr w:type="gramStart"/>
      <w:r>
        <w:rPr>
          <w:vertAlign w:val="subscript"/>
        </w:rPr>
        <w:t>2</w:t>
      </w:r>
      <w:proofErr w:type="gramEnd"/>
      <w:r>
        <w:t xml:space="preserve"> ДЛЯ РАСЧЕТА БАЗОВОЙ</w:t>
      </w:r>
    </w:p>
    <w:p w:rsidR="007A14DD" w:rsidRDefault="007A14DD">
      <w:pPr>
        <w:pStyle w:val="ConsPlusTitle"/>
        <w:jc w:val="center"/>
      </w:pPr>
      <w:r>
        <w:t xml:space="preserve">ДОХОДНОСТИ ЕДИНОГО НАЛОГА НА ВМЕНЕННЫЙ ДОХОД ДЛЯ </w:t>
      </w:r>
      <w:proofErr w:type="gramStart"/>
      <w:r>
        <w:t>ОТДЕЛЬНЫХ</w:t>
      </w:r>
      <w:proofErr w:type="gramEnd"/>
    </w:p>
    <w:p w:rsidR="007A14DD" w:rsidRDefault="007A14DD">
      <w:pPr>
        <w:pStyle w:val="ConsPlusTitle"/>
        <w:jc w:val="center"/>
      </w:pPr>
      <w:r>
        <w:t>ВИДОВ ДЕЯТЕЛЬНОСТИ (ЕНВД)</w:t>
      </w:r>
    </w:p>
    <w:p w:rsidR="007A14DD" w:rsidRDefault="007A14DD">
      <w:pPr>
        <w:pStyle w:val="ConsPlusNormal"/>
        <w:jc w:val="center"/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2494"/>
        <w:gridCol w:w="1651"/>
        <w:gridCol w:w="1512"/>
        <w:gridCol w:w="3733"/>
      </w:tblGrid>
      <w:tr w:rsidR="007A14DD" w:rsidTr="007A14DD">
        <w:tc>
          <w:tcPr>
            <w:tcW w:w="737" w:type="dxa"/>
          </w:tcPr>
          <w:p w:rsidR="007A14DD" w:rsidRDefault="007A14DD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в решении</w:t>
            </w:r>
          </w:p>
        </w:tc>
        <w:tc>
          <w:tcPr>
            <w:tcW w:w="2494" w:type="dxa"/>
          </w:tcPr>
          <w:p w:rsidR="007A14DD" w:rsidRDefault="007A14DD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1651" w:type="dxa"/>
          </w:tcPr>
          <w:p w:rsidR="007A14DD" w:rsidRDefault="007A14DD">
            <w:pPr>
              <w:pStyle w:val="ConsPlusNormal"/>
              <w:jc w:val="center"/>
            </w:pPr>
            <w:r>
              <w:t>Физические показатели</w:t>
            </w:r>
          </w:p>
        </w:tc>
        <w:tc>
          <w:tcPr>
            <w:tcW w:w="1512" w:type="dxa"/>
          </w:tcPr>
          <w:p w:rsidR="007A14DD" w:rsidRDefault="007A14DD">
            <w:pPr>
              <w:pStyle w:val="ConsPlusNormal"/>
              <w:jc w:val="center"/>
            </w:pPr>
            <w:r>
              <w:t>Базовая доходность в месяц (в руб.)</w:t>
            </w:r>
          </w:p>
        </w:tc>
        <w:tc>
          <w:tcPr>
            <w:tcW w:w="3733" w:type="dxa"/>
          </w:tcPr>
          <w:p w:rsidR="007A14DD" w:rsidRDefault="007A14DD">
            <w:pPr>
              <w:pStyle w:val="ConsPlusNormal"/>
              <w:jc w:val="center"/>
            </w:pPr>
            <w:r>
              <w:t>Корректирующий коэффициент К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  <w:r>
              <w:t xml:space="preserve"> базовой доходности</w:t>
            </w:r>
          </w:p>
        </w:tc>
      </w:tr>
      <w:tr w:rsidR="007A14DD" w:rsidTr="007A14DD">
        <w:tc>
          <w:tcPr>
            <w:tcW w:w="737" w:type="dxa"/>
          </w:tcPr>
          <w:p w:rsidR="007A14DD" w:rsidRDefault="007A14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7A14DD" w:rsidRDefault="007A14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1" w:type="dxa"/>
          </w:tcPr>
          <w:p w:rsidR="007A14DD" w:rsidRDefault="007A14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2" w:type="dxa"/>
          </w:tcPr>
          <w:p w:rsidR="007A14DD" w:rsidRDefault="007A14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33" w:type="dxa"/>
          </w:tcPr>
          <w:p w:rsidR="007A14DD" w:rsidRDefault="007A14DD">
            <w:pPr>
              <w:pStyle w:val="ConsPlusNormal"/>
              <w:jc w:val="center"/>
            </w:pPr>
            <w:r>
              <w:t>5</w:t>
            </w:r>
          </w:p>
        </w:tc>
      </w:tr>
      <w:tr w:rsidR="007A14DD" w:rsidTr="007A14DD">
        <w:tc>
          <w:tcPr>
            <w:tcW w:w="737" w:type="dxa"/>
          </w:tcPr>
          <w:p w:rsidR="007A14DD" w:rsidRDefault="007A14D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94" w:type="dxa"/>
          </w:tcPr>
          <w:p w:rsidR="007A14DD" w:rsidRDefault="007A14DD">
            <w:pPr>
              <w:pStyle w:val="ConsPlusNormal"/>
              <w:jc w:val="center"/>
            </w:pPr>
            <w:r>
              <w:t>Оказание бытовых услуг, в том числе:</w:t>
            </w:r>
          </w:p>
        </w:tc>
        <w:tc>
          <w:tcPr>
            <w:tcW w:w="1651" w:type="dxa"/>
          </w:tcPr>
          <w:p w:rsidR="007A14DD" w:rsidRDefault="007A14DD">
            <w:pPr>
              <w:pStyle w:val="ConsPlusNormal"/>
              <w:jc w:val="center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512" w:type="dxa"/>
          </w:tcPr>
          <w:p w:rsidR="007A14DD" w:rsidRDefault="007A14DD">
            <w:pPr>
              <w:pStyle w:val="ConsPlusNormal"/>
              <w:jc w:val="center"/>
            </w:pPr>
            <w:r>
              <w:t>7500</w:t>
            </w:r>
          </w:p>
        </w:tc>
        <w:tc>
          <w:tcPr>
            <w:tcW w:w="3733" w:type="dxa"/>
          </w:tcPr>
          <w:p w:rsidR="007A14DD" w:rsidRDefault="007A14DD">
            <w:pPr>
              <w:pStyle w:val="ConsPlusNormal"/>
              <w:jc w:val="both"/>
            </w:pPr>
          </w:p>
        </w:tc>
      </w:tr>
      <w:tr w:rsidR="007A14DD" w:rsidTr="007A14DD">
        <w:tc>
          <w:tcPr>
            <w:tcW w:w="737" w:type="dxa"/>
          </w:tcPr>
          <w:p w:rsidR="007A14DD" w:rsidRDefault="007A14D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494" w:type="dxa"/>
          </w:tcPr>
          <w:p w:rsidR="007A14DD" w:rsidRDefault="007A14DD">
            <w:pPr>
              <w:pStyle w:val="ConsPlusNormal"/>
              <w:jc w:val="center"/>
            </w:pPr>
            <w:r>
              <w:t>Оказание парикмахерских услуг</w:t>
            </w:r>
          </w:p>
        </w:tc>
        <w:tc>
          <w:tcPr>
            <w:tcW w:w="1651" w:type="dxa"/>
          </w:tcPr>
          <w:p w:rsidR="007A14DD" w:rsidRDefault="007A14DD">
            <w:pPr>
              <w:pStyle w:val="ConsPlusNormal"/>
              <w:jc w:val="center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512" w:type="dxa"/>
          </w:tcPr>
          <w:p w:rsidR="007A14DD" w:rsidRDefault="007A14DD">
            <w:pPr>
              <w:pStyle w:val="ConsPlusNormal"/>
              <w:jc w:val="center"/>
            </w:pPr>
            <w:r>
              <w:t>7500</w:t>
            </w:r>
          </w:p>
        </w:tc>
        <w:tc>
          <w:tcPr>
            <w:tcW w:w="3733" w:type="dxa"/>
          </w:tcPr>
          <w:p w:rsidR="007A14DD" w:rsidRDefault="007A14DD">
            <w:pPr>
              <w:pStyle w:val="ConsPlusNormal"/>
              <w:jc w:val="both"/>
            </w:pPr>
            <w:r>
              <w:t xml:space="preserve">В городских поселениях: в </w:t>
            </w:r>
            <w:proofErr w:type="spellStart"/>
            <w:r>
              <w:t>Лодейнопольском</w:t>
            </w:r>
            <w:proofErr w:type="spellEnd"/>
            <w:r>
              <w:t xml:space="preserve"> (применительно к </w:t>
            </w:r>
            <w:proofErr w:type="gramStart"/>
            <w:r>
              <w:t>г</w:t>
            </w:r>
            <w:proofErr w:type="gramEnd"/>
            <w:r>
              <w:t>. Лодейное Поле):</w:t>
            </w:r>
          </w:p>
          <w:p w:rsidR="007A14DD" w:rsidRDefault="007A14DD">
            <w:pPr>
              <w:pStyle w:val="ConsPlusNormal"/>
              <w:jc w:val="both"/>
            </w:pPr>
            <w:r>
              <w:t>- парикмахерские с количеством рабочих мест свыше четырех - 0,540;</w:t>
            </w:r>
          </w:p>
          <w:p w:rsidR="007A14DD" w:rsidRDefault="007A14DD">
            <w:pPr>
              <w:pStyle w:val="ConsPlusNormal"/>
              <w:jc w:val="both"/>
            </w:pPr>
            <w:r>
              <w:t>- прочие парикмахерские - 0,315;</w:t>
            </w:r>
          </w:p>
          <w:p w:rsidR="007A14DD" w:rsidRDefault="007A14DD">
            <w:pPr>
              <w:pStyle w:val="ConsPlusNormal"/>
              <w:jc w:val="both"/>
            </w:pPr>
            <w:r>
              <w:t xml:space="preserve">в </w:t>
            </w:r>
            <w:proofErr w:type="spellStart"/>
            <w:r>
              <w:t>Лодейнопольском</w:t>
            </w:r>
            <w:proofErr w:type="spellEnd"/>
            <w:r>
              <w:t xml:space="preserve"> (за исключением </w:t>
            </w:r>
            <w:proofErr w:type="gramStart"/>
            <w:r>
              <w:t>г</w:t>
            </w:r>
            <w:proofErr w:type="gramEnd"/>
            <w:r>
              <w:t>. Лодейное Поле) - 0,225;</w:t>
            </w:r>
          </w:p>
          <w:p w:rsidR="007A14DD" w:rsidRDefault="007A14DD">
            <w:pPr>
              <w:pStyle w:val="ConsPlusNormal"/>
              <w:jc w:val="both"/>
            </w:pPr>
            <w:r>
              <w:t xml:space="preserve">в </w:t>
            </w:r>
            <w:proofErr w:type="spellStart"/>
            <w:r>
              <w:t>Свирьстройском</w:t>
            </w:r>
            <w:proofErr w:type="spellEnd"/>
            <w:r>
              <w:t xml:space="preserve"> - 0,297;</w:t>
            </w:r>
          </w:p>
          <w:p w:rsidR="007A14DD" w:rsidRDefault="007A14DD">
            <w:pPr>
              <w:pStyle w:val="ConsPlusNormal"/>
              <w:jc w:val="both"/>
            </w:pPr>
            <w:r>
              <w:t>в сельских поселениях - 0,225</w:t>
            </w:r>
          </w:p>
        </w:tc>
      </w:tr>
      <w:tr w:rsidR="007A14DD" w:rsidTr="007A14DD">
        <w:tc>
          <w:tcPr>
            <w:tcW w:w="737" w:type="dxa"/>
          </w:tcPr>
          <w:p w:rsidR="007A14DD" w:rsidRDefault="007A14D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494" w:type="dxa"/>
          </w:tcPr>
          <w:p w:rsidR="007A14DD" w:rsidRDefault="007A14DD">
            <w:pPr>
              <w:pStyle w:val="ConsPlusNormal"/>
              <w:jc w:val="center"/>
            </w:pPr>
            <w:r>
              <w:t>Услуги бань</w:t>
            </w:r>
          </w:p>
        </w:tc>
        <w:tc>
          <w:tcPr>
            <w:tcW w:w="1651" w:type="dxa"/>
          </w:tcPr>
          <w:p w:rsidR="007A14DD" w:rsidRDefault="007A14DD">
            <w:pPr>
              <w:pStyle w:val="ConsPlusNormal"/>
              <w:jc w:val="center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512" w:type="dxa"/>
          </w:tcPr>
          <w:p w:rsidR="007A14DD" w:rsidRDefault="007A14DD">
            <w:pPr>
              <w:pStyle w:val="ConsPlusNormal"/>
              <w:jc w:val="center"/>
            </w:pPr>
            <w:r>
              <w:t>7500</w:t>
            </w:r>
          </w:p>
        </w:tc>
        <w:tc>
          <w:tcPr>
            <w:tcW w:w="3733" w:type="dxa"/>
          </w:tcPr>
          <w:p w:rsidR="007A14DD" w:rsidRDefault="007A14DD">
            <w:pPr>
              <w:pStyle w:val="ConsPlusNormal"/>
              <w:jc w:val="both"/>
            </w:pPr>
            <w:r>
              <w:t xml:space="preserve">В городских поселениях: в </w:t>
            </w:r>
            <w:proofErr w:type="spellStart"/>
            <w:r>
              <w:t>Лодейнопольском</w:t>
            </w:r>
            <w:proofErr w:type="spellEnd"/>
            <w:r>
              <w:t xml:space="preserve"> (применительно к </w:t>
            </w:r>
            <w:proofErr w:type="gramStart"/>
            <w:r>
              <w:t>г</w:t>
            </w:r>
            <w:proofErr w:type="gramEnd"/>
            <w:r>
              <w:t>. Лодейное Поле) - 0,162;</w:t>
            </w:r>
          </w:p>
          <w:p w:rsidR="007A14DD" w:rsidRDefault="007A14DD">
            <w:pPr>
              <w:pStyle w:val="ConsPlusNormal"/>
              <w:jc w:val="both"/>
            </w:pPr>
            <w:r>
              <w:t xml:space="preserve">в </w:t>
            </w:r>
            <w:proofErr w:type="spellStart"/>
            <w:r>
              <w:t>Лодейнопольском</w:t>
            </w:r>
            <w:proofErr w:type="spellEnd"/>
            <w:r>
              <w:t xml:space="preserve"> (за исключением </w:t>
            </w:r>
            <w:proofErr w:type="gramStart"/>
            <w:r>
              <w:t>г</w:t>
            </w:r>
            <w:proofErr w:type="gramEnd"/>
            <w:r>
              <w:t>. Лодейное Поле) - 0,031;</w:t>
            </w:r>
          </w:p>
          <w:p w:rsidR="007A14DD" w:rsidRDefault="007A14DD">
            <w:pPr>
              <w:pStyle w:val="ConsPlusNormal"/>
              <w:jc w:val="both"/>
            </w:pPr>
            <w:r>
              <w:t xml:space="preserve">в </w:t>
            </w:r>
            <w:proofErr w:type="spellStart"/>
            <w:r>
              <w:t>Свирьстройском</w:t>
            </w:r>
            <w:proofErr w:type="spellEnd"/>
            <w:r>
              <w:t xml:space="preserve"> - 0,072;</w:t>
            </w:r>
          </w:p>
          <w:p w:rsidR="007A14DD" w:rsidRDefault="007A14DD">
            <w:pPr>
              <w:pStyle w:val="ConsPlusNormal"/>
              <w:jc w:val="both"/>
            </w:pPr>
            <w:r>
              <w:t>в сельских поселениях - 0,031</w:t>
            </w:r>
          </w:p>
        </w:tc>
      </w:tr>
      <w:tr w:rsidR="007A14DD" w:rsidTr="007A14DD">
        <w:tc>
          <w:tcPr>
            <w:tcW w:w="737" w:type="dxa"/>
          </w:tcPr>
          <w:p w:rsidR="007A14DD" w:rsidRDefault="007A14DD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494" w:type="dxa"/>
          </w:tcPr>
          <w:p w:rsidR="007A14DD" w:rsidRDefault="007A14DD">
            <w:pPr>
              <w:pStyle w:val="ConsPlusNormal"/>
              <w:jc w:val="center"/>
            </w:pPr>
            <w:r>
              <w:t>Ремонт и обслуживание компьютеров, оргтехники; изготовление надгробий из натурального и искусственного камня</w:t>
            </w:r>
          </w:p>
        </w:tc>
        <w:tc>
          <w:tcPr>
            <w:tcW w:w="1651" w:type="dxa"/>
          </w:tcPr>
          <w:p w:rsidR="007A14DD" w:rsidRDefault="007A14DD">
            <w:pPr>
              <w:pStyle w:val="ConsPlusNormal"/>
              <w:jc w:val="center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512" w:type="dxa"/>
          </w:tcPr>
          <w:p w:rsidR="007A14DD" w:rsidRDefault="007A14DD">
            <w:pPr>
              <w:pStyle w:val="ConsPlusNormal"/>
              <w:jc w:val="center"/>
            </w:pPr>
            <w:r>
              <w:t>7500</w:t>
            </w:r>
          </w:p>
        </w:tc>
        <w:tc>
          <w:tcPr>
            <w:tcW w:w="3733" w:type="dxa"/>
          </w:tcPr>
          <w:p w:rsidR="007A14DD" w:rsidRDefault="007A14DD">
            <w:pPr>
              <w:pStyle w:val="ConsPlusNormal"/>
              <w:jc w:val="both"/>
            </w:pPr>
            <w:r>
              <w:t xml:space="preserve">В городских поселениях: в </w:t>
            </w:r>
            <w:proofErr w:type="spellStart"/>
            <w:r>
              <w:t>Лодейнопольском</w:t>
            </w:r>
            <w:proofErr w:type="spellEnd"/>
            <w:r>
              <w:t xml:space="preserve"> (применительно к </w:t>
            </w:r>
            <w:proofErr w:type="gramStart"/>
            <w:r>
              <w:t>г</w:t>
            </w:r>
            <w:proofErr w:type="gramEnd"/>
            <w:r>
              <w:t>. Лодейное Поле) - 0,405;</w:t>
            </w:r>
          </w:p>
          <w:p w:rsidR="007A14DD" w:rsidRDefault="007A14DD">
            <w:pPr>
              <w:pStyle w:val="ConsPlusNormal"/>
              <w:jc w:val="both"/>
            </w:pPr>
            <w:r>
              <w:t xml:space="preserve">в </w:t>
            </w:r>
            <w:proofErr w:type="spellStart"/>
            <w:r>
              <w:t>Лодейнопольском</w:t>
            </w:r>
            <w:proofErr w:type="spellEnd"/>
            <w:r>
              <w:t xml:space="preserve"> (за исключением </w:t>
            </w:r>
            <w:proofErr w:type="gramStart"/>
            <w:r>
              <w:t>г</w:t>
            </w:r>
            <w:proofErr w:type="gramEnd"/>
            <w:r>
              <w:t>. Лодейное Поле) - 0,225;</w:t>
            </w:r>
          </w:p>
          <w:p w:rsidR="007A14DD" w:rsidRDefault="007A14DD">
            <w:pPr>
              <w:pStyle w:val="ConsPlusNormal"/>
              <w:jc w:val="both"/>
            </w:pPr>
            <w:r>
              <w:t xml:space="preserve">в </w:t>
            </w:r>
            <w:proofErr w:type="spellStart"/>
            <w:r>
              <w:t>Свирьстройском</w:t>
            </w:r>
            <w:proofErr w:type="spellEnd"/>
            <w:r>
              <w:t xml:space="preserve"> - 0,360;</w:t>
            </w:r>
          </w:p>
          <w:p w:rsidR="007A14DD" w:rsidRDefault="007A14DD">
            <w:pPr>
              <w:pStyle w:val="ConsPlusNormal"/>
              <w:jc w:val="both"/>
            </w:pPr>
            <w:r>
              <w:t>в сельских поселениях - 0,225</w:t>
            </w:r>
          </w:p>
        </w:tc>
      </w:tr>
      <w:tr w:rsidR="007A14DD" w:rsidTr="007A14DD">
        <w:tc>
          <w:tcPr>
            <w:tcW w:w="737" w:type="dxa"/>
          </w:tcPr>
          <w:p w:rsidR="007A14DD" w:rsidRDefault="007A14DD">
            <w:pPr>
              <w:pStyle w:val="ConsPlusNormal"/>
              <w:jc w:val="center"/>
            </w:pPr>
            <w:r>
              <w:lastRenderedPageBreak/>
              <w:t>1.4.</w:t>
            </w:r>
          </w:p>
        </w:tc>
        <w:tc>
          <w:tcPr>
            <w:tcW w:w="2494" w:type="dxa"/>
          </w:tcPr>
          <w:p w:rsidR="007A14DD" w:rsidRDefault="007A14DD">
            <w:pPr>
              <w:pStyle w:val="ConsPlusNormal"/>
              <w:jc w:val="center"/>
            </w:pPr>
            <w:r>
              <w:t>Строительство, ремонт жилья и других построек</w:t>
            </w:r>
          </w:p>
        </w:tc>
        <w:tc>
          <w:tcPr>
            <w:tcW w:w="1651" w:type="dxa"/>
          </w:tcPr>
          <w:p w:rsidR="007A14DD" w:rsidRDefault="007A14DD">
            <w:pPr>
              <w:pStyle w:val="ConsPlusNormal"/>
              <w:jc w:val="center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512" w:type="dxa"/>
          </w:tcPr>
          <w:p w:rsidR="007A14DD" w:rsidRDefault="007A14DD">
            <w:pPr>
              <w:pStyle w:val="ConsPlusNormal"/>
              <w:jc w:val="center"/>
            </w:pPr>
            <w:r>
              <w:t>7500</w:t>
            </w:r>
          </w:p>
        </w:tc>
        <w:tc>
          <w:tcPr>
            <w:tcW w:w="3733" w:type="dxa"/>
          </w:tcPr>
          <w:p w:rsidR="007A14DD" w:rsidRDefault="007A14DD">
            <w:pPr>
              <w:pStyle w:val="ConsPlusNormal"/>
              <w:jc w:val="both"/>
            </w:pPr>
            <w:r>
              <w:t xml:space="preserve">В городских поселениях: </w:t>
            </w:r>
            <w:proofErr w:type="spellStart"/>
            <w:r>
              <w:t>Лодейнопольском</w:t>
            </w:r>
            <w:proofErr w:type="spellEnd"/>
            <w:r>
              <w:t xml:space="preserve"> (применительно к </w:t>
            </w:r>
            <w:proofErr w:type="gramStart"/>
            <w:r>
              <w:t>г</w:t>
            </w:r>
            <w:proofErr w:type="gramEnd"/>
            <w:r>
              <w:t>. Лодейное Поле) - 0,450;</w:t>
            </w:r>
          </w:p>
          <w:p w:rsidR="007A14DD" w:rsidRDefault="007A14DD">
            <w:pPr>
              <w:pStyle w:val="ConsPlusNormal"/>
              <w:jc w:val="both"/>
            </w:pPr>
            <w:r>
              <w:t xml:space="preserve">в </w:t>
            </w:r>
            <w:proofErr w:type="spellStart"/>
            <w:r>
              <w:t>Лодейнопольском</w:t>
            </w:r>
            <w:proofErr w:type="spellEnd"/>
            <w:r>
              <w:t xml:space="preserve"> (за исключением </w:t>
            </w:r>
            <w:proofErr w:type="gramStart"/>
            <w:r>
              <w:t>г</w:t>
            </w:r>
            <w:proofErr w:type="gramEnd"/>
            <w:r>
              <w:t>. Лодейное Поле) - 0,225;</w:t>
            </w:r>
          </w:p>
          <w:p w:rsidR="007A14DD" w:rsidRDefault="007A14DD">
            <w:pPr>
              <w:pStyle w:val="ConsPlusNormal"/>
              <w:jc w:val="both"/>
            </w:pPr>
            <w:r>
              <w:t xml:space="preserve">в </w:t>
            </w:r>
            <w:proofErr w:type="spellStart"/>
            <w:r>
              <w:t>Свирьстройском</w:t>
            </w:r>
            <w:proofErr w:type="spellEnd"/>
            <w:r>
              <w:t xml:space="preserve"> - 0,405;</w:t>
            </w:r>
          </w:p>
          <w:p w:rsidR="007A14DD" w:rsidRDefault="007A14DD">
            <w:pPr>
              <w:pStyle w:val="ConsPlusNormal"/>
              <w:jc w:val="both"/>
            </w:pPr>
            <w:r>
              <w:t>в сельских поселениях - 0,225</w:t>
            </w:r>
          </w:p>
        </w:tc>
      </w:tr>
      <w:tr w:rsidR="007A14DD" w:rsidTr="007A14DD">
        <w:tc>
          <w:tcPr>
            <w:tcW w:w="737" w:type="dxa"/>
          </w:tcPr>
          <w:p w:rsidR="007A14DD" w:rsidRDefault="007A14DD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2494" w:type="dxa"/>
          </w:tcPr>
          <w:p w:rsidR="007A14DD" w:rsidRDefault="007A14DD">
            <w:pPr>
              <w:pStyle w:val="ConsPlusNormal"/>
              <w:jc w:val="center"/>
            </w:pPr>
            <w:r>
              <w:t xml:space="preserve">Услуги фотоателье и </w:t>
            </w:r>
            <w:proofErr w:type="spellStart"/>
            <w:r>
              <w:t>фотокинолабораторий</w:t>
            </w:r>
            <w:proofErr w:type="spellEnd"/>
          </w:p>
        </w:tc>
        <w:tc>
          <w:tcPr>
            <w:tcW w:w="1651" w:type="dxa"/>
          </w:tcPr>
          <w:p w:rsidR="007A14DD" w:rsidRDefault="007A14DD">
            <w:pPr>
              <w:pStyle w:val="ConsPlusNormal"/>
              <w:jc w:val="center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512" w:type="dxa"/>
          </w:tcPr>
          <w:p w:rsidR="007A14DD" w:rsidRDefault="007A14DD">
            <w:pPr>
              <w:pStyle w:val="ConsPlusNormal"/>
              <w:jc w:val="center"/>
            </w:pPr>
            <w:r>
              <w:t>7500</w:t>
            </w:r>
          </w:p>
        </w:tc>
        <w:tc>
          <w:tcPr>
            <w:tcW w:w="3733" w:type="dxa"/>
          </w:tcPr>
          <w:p w:rsidR="007A14DD" w:rsidRDefault="007A14DD">
            <w:pPr>
              <w:pStyle w:val="ConsPlusNormal"/>
              <w:jc w:val="both"/>
            </w:pPr>
            <w:r>
              <w:t xml:space="preserve">В городских поселениях: </w:t>
            </w:r>
            <w:proofErr w:type="spellStart"/>
            <w:r>
              <w:t>Лодейнопольском</w:t>
            </w:r>
            <w:proofErr w:type="spellEnd"/>
            <w:r>
              <w:t xml:space="preserve"> (применительно к </w:t>
            </w:r>
            <w:proofErr w:type="gramStart"/>
            <w:r>
              <w:t>г</w:t>
            </w:r>
            <w:proofErr w:type="gramEnd"/>
            <w:r>
              <w:t>. Лодейное Поле) - 0,405;</w:t>
            </w:r>
          </w:p>
          <w:p w:rsidR="007A14DD" w:rsidRDefault="007A14DD">
            <w:pPr>
              <w:pStyle w:val="ConsPlusNormal"/>
              <w:jc w:val="both"/>
            </w:pPr>
            <w:r>
              <w:t xml:space="preserve">в </w:t>
            </w:r>
            <w:proofErr w:type="spellStart"/>
            <w:r>
              <w:t>Лодейнопольском</w:t>
            </w:r>
            <w:proofErr w:type="spellEnd"/>
            <w:r>
              <w:t xml:space="preserve"> (за исключением </w:t>
            </w:r>
            <w:proofErr w:type="gramStart"/>
            <w:r>
              <w:t>г</w:t>
            </w:r>
            <w:proofErr w:type="gramEnd"/>
            <w:r>
              <w:t>. Лодейное Поле) - 0,135;</w:t>
            </w:r>
          </w:p>
          <w:p w:rsidR="007A14DD" w:rsidRDefault="007A14DD">
            <w:pPr>
              <w:pStyle w:val="ConsPlusNormal"/>
              <w:jc w:val="both"/>
            </w:pPr>
            <w:r>
              <w:t xml:space="preserve">в </w:t>
            </w:r>
            <w:proofErr w:type="spellStart"/>
            <w:r>
              <w:t>Свирьстройском</w:t>
            </w:r>
            <w:proofErr w:type="spellEnd"/>
            <w:r>
              <w:t xml:space="preserve"> - 0,360;</w:t>
            </w:r>
          </w:p>
          <w:p w:rsidR="007A14DD" w:rsidRDefault="007A14DD">
            <w:pPr>
              <w:pStyle w:val="ConsPlusNormal"/>
              <w:jc w:val="both"/>
            </w:pPr>
            <w:r>
              <w:t>в сельских поселениях - 0,135</w:t>
            </w:r>
          </w:p>
        </w:tc>
      </w:tr>
      <w:tr w:rsidR="007A14DD" w:rsidTr="007A14DD">
        <w:tc>
          <w:tcPr>
            <w:tcW w:w="737" w:type="dxa"/>
          </w:tcPr>
          <w:p w:rsidR="007A14DD" w:rsidRDefault="007A14DD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2494" w:type="dxa"/>
          </w:tcPr>
          <w:p w:rsidR="007A14DD" w:rsidRDefault="007A14DD">
            <w:pPr>
              <w:pStyle w:val="ConsPlusNormal"/>
              <w:jc w:val="center"/>
            </w:pPr>
            <w:r>
              <w:t>Ремонт и техническое обслуживание бытовой радиоэлектронной аппаратуры, бытовых машин и бытовых приборов</w:t>
            </w:r>
          </w:p>
        </w:tc>
        <w:tc>
          <w:tcPr>
            <w:tcW w:w="1651" w:type="dxa"/>
          </w:tcPr>
          <w:p w:rsidR="007A14DD" w:rsidRDefault="007A14DD">
            <w:pPr>
              <w:pStyle w:val="ConsPlusNormal"/>
              <w:jc w:val="center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512" w:type="dxa"/>
          </w:tcPr>
          <w:p w:rsidR="007A14DD" w:rsidRDefault="007A14DD">
            <w:pPr>
              <w:pStyle w:val="ConsPlusNormal"/>
              <w:jc w:val="center"/>
            </w:pPr>
            <w:r>
              <w:t>7500</w:t>
            </w:r>
          </w:p>
        </w:tc>
        <w:tc>
          <w:tcPr>
            <w:tcW w:w="3733" w:type="dxa"/>
          </w:tcPr>
          <w:p w:rsidR="007A14DD" w:rsidRDefault="007A14DD">
            <w:pPr>
              <w:pStyle w:val="ConsPlusNormal"/>
              <w:jc w:val="both"/>
            </w:pPr>
            <w:r>
              <w:t xml:space="preserve">В городских поселениях: </w:t>
            </w:r>
            <w:proofErr w:type="spellStart"/>
            <w:r>
              <w:t>Лодейнопольском</w:t>
            </w:r>
            <w:proofErr w:type="spellEnd"/>
            <w:r>
              <w:t xml:space="preserve"> (применительно к </w:t>
            </w:r>
            <w:proofErr w:type="gramStart"/>
            <w:r>
              <w:t>г</w:t>
            </w:r>
            <w:proofErr w:type="gramEnd"/>
            <w:r>
              <w:t>. Лодейное Поле) - 0,495;</w:t>
            </w:r>
          </w:p>
          <w:p w:rsidR="007A14DD" w:rsidRDefault="007A14DD">
            <w:pPr>
              <w:pStyle w:val="ConsPlusNormal"/>
              <w:jc w:val="both"/>
            </w:pPr>
            <w:r>
              <w:t xml:space="preserve">в </w:t>
            </w:r>
            <w:proofErr w:type="spellStart"/>
            <w:r>
              <w:t>Лодейнопольском</w:t>
            </w:r>
            <w:proofErr w:type="spellEnd"/>
            <w:r>
              <w:t xml:space="preserve"> (за исключением </w:t>
            </w:r>
            <w:proofErr w:type="gramStart"/>
            <w:r>
              <w:t>г</w:t>
            </w:r>
            <w:proofErr w:type="gramEnd"/>
            <w:r>
              <w:t>. Лодейное Поле) - 0,135;</w:t>
            </w:r>
          </w:p>
          <w:p w:rsidR="007A14DD" w:rsidRDefault="007A14DD">
            <w:pPr>
              <w:pStyle w:val="ConsPlusNormal"/>
              <w:jc w:val="both"/>
            </w:pPr>
            <w:r>
              <w:t xml:space="preserve">в </w:t>
            </w:r>
            <w:proofErr w:type="spellStart"/>
            <w:r>
              <w:t>Свирьстройском</w:t>
            </w:r>
            <w:proofErr w:type="spellEnd"/>
            <w:r>
              <w:t xml:space="preserve"> - 0,450;</w:t>
            </w:r>
          </w:p>
          <w:p w:rsidR="007A14DD" w:rsidRDefault="007A14DD">
            <w:pPr>
              <w:pStyle w:val="ConsPlusNormal"/>
              <w:jc w:val="both"/>
            </w:pPr>
            <w:r>
              <w:t>в сельских поселениях - 0,135</w:t>
            </w:r>
          </w:p>
        </w:tc>
      </w:tr>
      <w:tr w:rsidR="007A14DD" w:rsidTr="007A14DD">
        <w:tc>
          <w:tcPr>
            <w:tcW w:w="737" w:type="dxa"/>
          </w:tcPr>
          <w:p w:rsidR="007A14DD" w:rsidRDefault="007A14DD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2494" w:type="dxa"/>
          </w:tcPr>
          <w:p w:rsidR="007A14DD" w:rsidRDefault="007A14DD">
            <w:pPr>
              <w:pStyle w:val="ConsPlusNormal"/>
              <w:jc w:val="center"/>
            </w:pPr>
            <w:r>
              <w:t>Другие бытовые услуги</w:t>
            </w:r>
          </w:p>
        </w:tc>
        <w:tc>
          <w:tcPr>
            <w:tcW w:w="1651" w:type="dxa"/>
          </w:tcPr>
          <w:p w:rsidR="007A14DD" w:rsidRDefault="007A14DD">
            <w:pPr>
              <w:pStyle w:val="ConsPlusNormal"/>
              <w:jc w:val="center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512" w:type="dxa"/>
          </w:tcPr>
          <w:p w:rsidR="007A14DD" w:rsidRDefault="007A14DD">
            <w:pPr>
              <w:pStyle w:val="ConsPlusNormal"/>
              <w:jc w:val="center"/>
            </w:pPr>
            <w:r>
              <w:t>7500</w:t>
            </w:r>
          </w:p>
        </w:tc>
        <w:tc>
          <w:tcPr>
            <w:tcW w:w="3733" w:type="dxa"/>
          </w:tcPr>
          <w:p w:rsidR="007A14DD" w:rsidRDefault="007A14DD">
            <w:pPr>
              <w:pStyle w:val="ConsPlusNormal"/>
              <w:jc w:val="both"/>
            </w:pPr>
            <w:r>
              <w:t xml:space="preserve">В городских поселениях: </w:t>
            </w:r>
            <w:proofErr w:type="spellStart"/>
            <w:r>
              <w:t>Лодейнопольском</w:t>
            </w:r>
            <w:proofErr w:type="spellEnd"/>
            <w:r>
              <w:t xml:space="preserve"> (применительно к </w:t>
            </w:r>
            <w:proofErr w:type="gramStart"/>
            <w:r>
              <w:t>г</w:t>
            </w:r>
            <w:proofErr w:type="gramEnd"/>
            <w:r>
              <w:t>. Лодейное Поле) - 0,315;</w:t>
            </w:r>
          </w:p>
          <w:p w:rsidR="007A14DD" w:rsidRDefault="007A14DD">
            <w:pPr>
              <w:pStyle w:val="ConsPlusNormal"/>
              <w:jc w:val="both"/>
            </w:pPr>
            <w:r>
              <w:t xml:space="preserve">в </w:t>
            </w:r>
            <w:proofErr w:type="spellStart"/>
            <w:r>
              <w:t>Лодейнопольском</w:t>
            </w:r>
            <w:proofErr w:type="spellEnd"/>
            <w:r>
              <w:t xml:space="preserve"> (за исключением </w:t>
            </w:r>
            <w:proofErr w:type="gramStart"/>
            <w:r>
              <w:t>г</w:t>
            </w:r>
            <w:proofErr w:type="gramEnd"/>
            <w:r>
              <w:t>. Лодейное Поле) - 0,135;</w:t>
            </w:r>
          </w:p>
          <w:p w:rsidR="007A14DD" w:rsidRDefault="007A14DD">
            <w:pPr>
              <w:pStyle w:val="ConsPlusNormal"/>
              <w:jc w:val="both"/>
            </w:pPr>
            <w:r>
              <w:t xml:space="preserve">в </w:t>
            </w:r>
            <w:proofErr w:type="spellStart"/>
            <w:r>
              <w:t>Свирьстройском</w:t>
            </w:r>
            <w:proofErr w:type="spellEnd"/>
            <w:r>
              <w:t xml:space="preserve"> - 0,270;</w:t>
            </w:r>
          </w:p>
          <w:p w:rsidR="007A14DD" w:rsidRDefault="007A14DD">
            <w:pPr>
              <w:pStyle w:val="ConsPlusNormal"/>
              <w:jc w:val="both"/>
            </w:pPr>
            <w:r>
              <w:t>в сельских поселениях - 0,135</w:t>
            </w:r>
          </w:p>
        </w:tc>
      </w:tr>
      <w:tr w:rsidR="007A14DD" w:rsidTr="007A14DD">
        <w:tc>
          <w:tcPr>
            <w:tcW w:w="737" w:type="dxa"/>
          </w:tcPr>
          <w:p w:rsidR="007A14DD" w:rsidRDefault="007A14D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94" w:type="dxa"/>
          </w:tcPr>
          <w:p w:rsidR="007A14DD" w:rsidRDefault="007A14DD">
            <w:pPr>
              <w:pStyle w:val="ConsPlusNormal"/>
              <w:jc w:val="center"/>
            </w:pPr>
            <w:r>
              <w:t>Оказание автотранспортных услуг по перевозке грузов</w:t>
            </w:r>
          </w:p>
        </w:tc>
        <w:tc>
          <w:tcPr>
            <w:tcW w:w="1651" w:type="dxa"/>
          </w:tcPr>
          <w:p w:rsidR="007A14DD" w:rsidRDefault="007A14DD">
            <w:pPr>
              <w:pStyle w:val="ConsPlusNormal"/>
              <w:jc w:val="center"/>
            </w:pPr>
            <w:r>
              <w:t>Количество автотранспортных средств, используемых для перевозки грузов</w:t>
            </w:r>
          </w:p>
        </w:tc>
        <w:tc>
          <w:tcPr>
            <w:tcW w:w="1512" w:type="dxa"/>
          </w:tcPr>
          <w:p w:rsidR="007A14DD" w:rsidRDefault="007A14DD">
            <w:pPr>
              <w:pStyle w:val="ConsPlusNormal"/>
              <w:jc w:val="center"/>
            </w:pPr>
            <w:r>
              <w:t>6000</w:t>
            </w:r>
          </w:p>
        </w:tc>
        <w:tc>
          <w:tcPr>
            <w:tcW w:w="3733" w:type="dxa"/>
          </w:tcPr>
          <w:p w:rsidR="007A14DD" w:rsidRDefault="007A14DD">
            <w:pPr>
              <w:pStyle w:val="ConsPlusNormal"/>
              <w:jc w:val="both"/>
            </w:pPr>
            <w:r>
              <w:t>С использованием автотранспортных сре</w:t>
            </w:r>
            <w:proofErr w:type="gramStart"/>
            <w:r>
              <w:t>дств дл</w:t>
            </w:r>
            <w:proofErr w:type="gramEnd"/>
            <w:r>
              <w:t>я перевозки грузов грузоподъемностью до 2 тонн - 0,855;</w:t>
            </w:r>
          </w:p>
          <w:p w:rsidR="007A14DD" w:rsidRDefault="007A14DD">
            <w:pPr>
              <w:pStyle w:val="ConsPlusNormal"/>
              <w:jc w:val="both"/>
            </w:pPr>
            <w:r>
              <w:t>с использованием прочих автотранспортных средств - 0,900</w:t>
            </w:r>
          </w:p>
        </w:tc>
      </w:tr>
      <w:tr w:rsidR="007A14DD" w:rsidTr="007A14DD">
        <w:tc>
          <w:tcPr>
            <w:tcW w:w="737" w:type="dxa"/>
          </w:tcPr>
          <w:p w:rsidR="007A14DD" w:rsidRDefault="007A14D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494" w:type="dxa"/>
          </w:tcPr>
          <w:p w:rsidR="007A14DD" w:rsidRDefault="007A14DD">
            <w:pPr>
              <w:pStyle w:val="ConsPlusNormal"/>
              <w:jc w:val="center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1651" w:type="dxa"/>
          </w:tcPr>
          <w:p w:rsidR="007A14DD" w:rsidRDefault="007A14DD">
            <w:pPr>
              <w:pStyle w:val="ConsPlusNormal"/>
              <w:jc w:val="center"/>
            </w:pPr>
            <w:r>
              <w:t>Количество посадочных мест</w:t>
            </w:r>
          </w:p>
        </w:tc>
        <w:tc>
          <w:tcPr>
            <w:tcW w:w="1512" w:type="dxa"/>
          </w:tcPr>
          <w:p w:rsidR="007A14DD" w:rsidRDefault="007A14DD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3733" w:type="dxa"/>
          </w:tcPr>
          <w:p w:rsidR="007A14DD" w:rsidRDefault="007A14DD">
            <w:pPr>
              <w:pStyle w:val="ConsPlusNormal"/>
              <w:jc w:val="center"/>
            </w:pPr>
            <w:r>
              <w:t>0,180</w:t>
            </w:r>
          </w:p>
        </w:tc>
      </w:tr>
      <w:tr w:rsidR="007A14DD" w:rsidTr="007A14DD">
        <w:tc>
          <w:tcPr>
            <w:tcW w:w="737" w:type="dxa"/>
          </w:tcPr>
          <w:p w:rsidR="007A14DD" w:rsidRDefault="007A14D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494" w:type="dxa"/>
          </w:tcPr>
          <w:p w:rsidR="007A14DD" w:rsidRDefault="007A14DD">
            <w:pPr>
              <w:pStyle w:val="ConsPlusNormal"/>
              <w:jc w:val="center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651" w:type="dxa"/>
          </w:tcPr>
          <w:p w:rsidR="007A14DD" w:rsidRDefault="007A14DD">
            <w:pPr>
              <w:pStyle w:val="ConsPlusNormal"/>
              <w:jc w:val="center"/>
            </w:pPr>
            <w:r>
              <w:t>Площадь торгового зала (в квадратных метрах)</w:t>
            </w:r>
          </w:p>
        </w:tc>
        <w:tc>
          <w:tcPr>
            <w:tcW w:w="1512" w:type="dxa"/>
          </w:tcPr>
          <w:p w:rsidR="007A14DD" w:rsidRDefault="007A14DD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3733" w:type="dxa"/>
          </w:tcPr>
          <w:p w:rsidR="007A14DD" w:rsidRDefault="007A14DD">
            <w:pPr>
              <w:pStyle w:val="ConsPlusNormal"/>
              <w:jc w:val="both"/>
            </w:pPr>
          </w:p>
        </w:tc>
      </w:tr>
      <w:tr w:rsidR="007A14DD" w:rsidTr="007A14D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2494" w:type="dxa"/>
            <w:tcBorders>
              <w:bottom w:val="nil"/>
            </w:tcBorders>
          </w:tcPr>
          <w:p w:rsidR="007A14DD" w:rsidRDefault="007A14DD">
            <w:pPr>
              <w:pStyle w:val="ConsPlusNormal"/>
              <w:jc w:val="center"/>
            </w:pPr>
            <w:proofErr w:type="spellStart"/>
            <w:r>
              <w:t>Лодейнопольское</w:t>
            </w:r>
            <w:proofErr w:type="spellEnd"/>
            <w:r>
              <w:t xml:space="preserve"> городское поселение (применительно к </w:t>
            </w:r>
            <w:proofErr w:type="gramStart"/>
            <w:r>
              <w:t>г</w:t>
            </w:r>
            <w:proofErr w:type="gramEnd"/>
            <w:r>
              <w:t>. Лодейное Поле)</w:t>
            </w:r>
          </w:p>
        </w:tc>
        <w:tc>
          <w:tcPr>
            <w:tcW w:w="1651" w:type="dxa"/>
            <w:tcBorders>
              <w:bottom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1512" w:type="dxa"/>
            <w:tcBorders>
              <w:bottom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3733" w:type="dxa"/>
            <w:tcBorders>
              <w:bottom w:val="nil"/>
            </w:tcBorders>
          </w:tcPr>
          <w:p w:rsidR="007A14DD" w:rsidRDefault="007A14DD">
            <w:pPr>
              <w:pStyle w:val="ConsPlusNormal"/>
              <w:jc w:val="both"/>
            </w:pPr>
            <w:r>
              <w:t>Продовольственные товары</w:t>
            </w:r>
          </w:p>
          <w:p w:rsidR="007A14DD" w:rsidRDefault="007A14DD">
            <w:pPr>
              <w:pStyle w:val="ConsPlusNormal"/>
              <w:jc w:val="both"/>
            </w:pPr>
            <w:r>
              <w:t>при наличии алкогольной продукции:</w:t>
            </w:r>
          </w:p>
          <w:p w:rsidR="007A14DD" w:rsidRDefault="007A14DD">
            <w:pPr>
              <w:pStyle w:val="ConsPlusNormal"/>
              <w:jc w:val="center"/>
            </w:pPr>
            <w:r>
              <w:t>с площадью торгового зала: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- 0,400;</w:t>
            </w:r>
          </w:p>
          <w:p w:rsidR="007A14DD" w:rsidRDefault="007A14DD">
            <w:pPr>
              <w:pStyle w:val="ConsPlusNormal"/>
              <w:jc w:val="both"/>
            </w:pPr>
            <w:r>
              <w:lastRenderedPageBreak/>
              <w:t>от 51 до 100 кв. м - 0,300;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- 0,250.</w:t>
            </w:r>
          </w:p>
          <w:p w:rsidR="007A14DD" w:rsidRDefault="007A14DD">
            <w:pPr>
              <w:pStyle w:val="ConsPlusNormal"/>
              <w:jc w:val="both"/>
            </w:pPr>
            <w:r>
              <w:t>Непродовольственные товары</w:t>
            </w:r>
          </w:p>
          <w:p w:rsidR="007A14DD" w:rsidRDefault="007A14DD">
            <w:pPr>
              <w:pStyle w:val="ConsPlusNormal"/>
              <w:jc w:val="both"/>
            </w:pPr>
            <w:proofErr w:type="gramStart"/>
            <w:r>
              <w:t>при наличии изделий из натурального меха, радио- и телеаппаратуры, аудио- и видеоаппаратуры, офисной мебели, офисных машин и оборудования, компьютеров, программного обеспечения и периферийных устройств, фотоаппаратуры, оптических и точных приборов, бытовых электротоваров, ювелирных изделий, автомобильных деталей, узлов и принадлежностей:</w:t>
            </w:r>
            <w:proofErr w:type="gramEnd"/>
          </w:p>
          <w:p w:rsidR="007A14DD" w:rsidRDefault="007A14DD">
            <w:pPr>
              <w:pStyle w:val="ConsPlusNormal"/>
              <w:jc w:val="center"/>
            </w:pPr>
            <w:r>
              <w:t>с площадью торгового зала: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- 0,360;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- 0,270;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- 0,225.</w:t>
            </w:r>
          </w:p>
          <w:p w:rsidR="007A14DD" w:rsidRDefault="007A14DD">
            <w:pPr>
              <w:pStyle w:val="ConsPlusNormal"/>
              <w:jc w:val="both"/>
            </w:pPr>
            <w:r>
              <w:t>Специализированные магазины:</w:t>
            </w:r>
          </w:p>
          <w:p w:rsidR="007A14DD" w:rsidRDefault="007A14DD">
            <w:pPr>
              <w:pStyle w:val="ConsPlusNormal"/>
              <w:jc w:val="both"/>
            </w:pPr>
            <w:r>
              <w:t>сувениры, изделия народных художественных промыслов, предметы культового и религиозного назначения, похоронные принадлежности, молочные продукты, хлеб и хлебобулочные изделия, фрукты, овощи и картофель, газеты и журналы, писчебумажные и канцелярские товары, игры и игрушки, товары детского ассортимента, бывшие в употреблении товары:</w:t>
            </w:r>
          </w:p>
          <w:p w:rsidR="007A14DD" w:rsidRDefault="007A14DD">
            <w:pPr>
              <w:pStyle w:val="ConsPlusNormal"/>
              <w:jc w:val="center"/>
            </w:pPr>
            <w:r>
              <w:t>с площадью торгового зала: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- 0,180,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- 0,090,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- 0,072.</w:t>
            </w:r>
          </w:p>
          <w:p w:rsidR="007A14DD" w:rsidRDefault="007A14DD">
            <w:pPr>
              <w:pStyle w:val="ConsPlusNormal"/>
              <w:jc w:val="both"/>
            </w:pPr>
            <w:r>
              <w:t>Прочий ассортимент:</w:t>
            </w:r>
          </w:p>
          <w:p w:rsidR="007A14DD" w:rsidRDefault="007A14DD">
            <w:pPr>
              <w:pStyle w:val="ConsPlusNormal"/>
              <w:jc w:val="center"/>
            </w:pPr>
            <w:r>
              <w:t>с площадью торгового зала: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- 0,252,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- 0,162,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- 0,090.</w:t>
            </w:r>
          </w:p>
        </w:tc>
      </w:tr>
      <w:tr w:rsidR="007A14DD" w:rsidTr="007A14DD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2494" w:type="dxa"/>
            <w:tcBorders>
              <w:top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1651" w:type="dxa"/>
            <w:tcBorders>
              <w:top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1512" w:type="dxa"/>
            <w:tcBorders>
              <w:top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3733" w:type="dxa"/>
            <w:tcBorders>
              <w:top w:val="nil"/>
            </w:tcBorders>
          </w:tcPr>
          <w:p w:rsidR="007A14DD" w:rsidRDefault="007A14DD">
            <w:pPr>
              <w:pStyle w:val="ConsPlusNormal"/>
              <w:jc w:val="both"/>
            </w:pPr>
            <w:r>
              <w:t>Аптеки и аптечные пункты, реализующие медикаменты по программе "дополнительное лекарственное обеспечение":</w:t>
            </w:r>
          </w:p>
          <w:p w:rsidR="007A14DD" w:rsidRDefault="007A14DD">
            <w:pPr>
              <w:pStyle w:val="ConsPlusNormal"/>
              <w:jc w:val="center"/>
            </w:pPr>
            <w:r>
              <w:t>с площадью торгового зала: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- 0,150,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- 0,100,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- 0,050.</w:t>
            </w:r>
          </w:p>
          <w:p w:rsidR="007A14DD" w:rsidRDefault="007A14DD">
            <w:pPr>
              <w:pStyle w:val="ConsPlusNormal"/>
              <w:jc w:val="both"/>
            </w:pPr>
            <w:r>
              <w:t>Аптеки и аптечные пункты:</w:t>
            </w:r>
          </w:p>
          <w:p w:rsidR="007A14DD" w:rsidRDefault="007A14DD">
            <w:pPr>
              <w:pStyle w:val="ConsPlusNormal"/>
              <w:jc w:val="center"/>
            </w:pPr>
            <w:r>
              <w:t>с площадью торгового места:</w:t>
            </w:r>
          </w:p>
          <w:p w:rsidR="007A14DD" w:rsidRDefault="007A14DD">
            <w:pPr>
              <w:pStyle w:val="ConsPlusNormal"/>
              <w:jc w:val="both"/>
            </w:pPr>
            <w:r>
              <w:t>от 5 до 50 кв. м - 0,200,</w:t>
            </w:r>
          </w:p>
          <w:p w:rsidR="007A14DD" w:rsidRDefault="007A14DD">
            <w:pPr>
              <w:pStyle w:val="ConsPlusNormal"/>
              <w:jc w:val="both"/>
            </w:pPr>
            <w:r>
              <w:lastRenderedPageBreak/>
              <w:t>от 51 до 100 кв. м - 0,130,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- 0,070</w:t>
            </w:r>
          </w:p>
        </w:tc>
      </w:tr>
      <w:tr w:rsidR="007A14DD" w:rsidTr="007A14D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2494" w:type="dxa"/>
            <w:tcBorders>
              <w:bottom w:val="nil"/>
            </w:tcBorders>
          </w:tcPr>
          <w:p w:rsidR="007A14DD" w:rsidRDefault="007A14DD">
            <w:pPr>
              <w:pStyle w:val="ConsPlusNormal"/>
              <w:jc w:val="center"/>
            </w:pPr>
            <w:proofErr w:type="spellStart"/>
            <w:r>
              <w:t>Свирьстройское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651" w:type="dxa"/>
            <w:tcBorders>
              <w:bottom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1512" w:type="dxa"/>
            <w:tcBorders>
              <w:bottom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3733" w:type="dxa"/>
            <w:tcBorders>
              <w:bottom w:val="nil"/>
            </w:tcBorders>
          </w:tcPr>
          <w:p w:rsidR="007A14DD" w:rsidRDefault="007A14DD">
            <w:pPr>
              <w:pStyle w:val="ConsPlusNormal"/>
              <w:jc w:val="both"/>
            </w:pPr>
            <w:r>
              <w:t>Продовольственные товары:</w:t>
            </w:r>
          </w:p>
          <w:p w:rsidR="007A14DD" w:rsidRDefault="007A14DD">
            <w:pPr>
              <w:pStyle w:val="ConsPlusNormal"/>
              <w:jc w:val="both"/>
            </w:pPr>
            <w:r>
              <w:t>при наличии алкогольной продукции:</w:t>
            </w:r>
          </w:p>
          <w:p w:rsidR="007A14DD" w:rsidRDefault="007A14DD">
            <w:pPr>
              <w:pStyle w:val="ConsPlusNormal"/>
              <w:jc w:val="center"/>
            </w:pPr>
            <w:r>
              <w:t>с площадью торгового зала: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- 0,360,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- 0,280,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- 0,230.</w:t>
            </w:r>
          </w:p>
          <w:p w:rsidR="007A14DD" w:rsidRDefault="007A14DD">
            <w:pPr>
              <w:pStyle w:val="ConsPlusNormal"/>
              <w:jc w:val="both"/>
            </w:pPr>
            <w:r>
              <w:t>Непродовольственные товары:</w:t>
            </w:r>
          </w:p>
          <w:p w:rsidR="007A14DD" w:rsidRDefault="007A14DD">
            <w:pPr>
              <w:pStyle w:val="ConsPlusNormal"/>
              <w:jc w:val="both"/>
            </w:pPr>
            <w:proofErr w:type="gramStart"/>
            <w:r>
              <w:t>при наличии изделий из натурального меха, радио- и телеаппаратуры, аудио- и видеоаппаратуры, офисной мебели, офисных машин и оборудования, компьютеров, программного обеспечения и периферийных устройств, фотоаппаратуры, оптических и точных приборов, бытовых электротоваров, ювелирных изделий, автомобильных деталей, узлов и принадлежностей:</w:t>
            </w:r>
            <w:proofErr w:type="gramEnd"/>
          </w:p>
          <w:p w:rsidR="007A14DD" w:rsidRDefault="007A14DD">
            <w:pPr>
              <w:pStyle w:val="ConsPlusNormal"/>
              <w:jc w:val="center"/>
            </w:pPr>
            <w:r>
              <w:t>с площадью торгового зала: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- 0,324,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- 0,252,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- 0,207.</w:t>
            </w:r>
          </w:p>
          <w:p w:rsidR="007A14DD" w:rsidRDefault="007A14DD">
            <w:pPr>
              <w:pStyle w:val="ConsPlusNormal"/>
              <w:jc w:val="both"/>
            </w:pPr>
            <w:r>
              <w:t>Специализированные магазины:</w:t>
            </w:r>
          </w:p>
          <w:p w:rsidR="007A14DD" w:rsidRDefault="007A14DD">
            <w:pPr>
              <w:pStyle w:val="ConsPlusNormal"/>
              <w:jc w:val="both"/>
            </w:pPr>
            <w:r>
              <w:t>сувениры, изделия народных художественных промыслов, предметы культового и религиозного назначения, похоронные принадлежности, молочные продукты, хлеб и хлебобулочные изделия, фрукты, овощи и картофель, газеты и журналы, писчебумажные и канцелярские товары, игры и игрушки, товары детского ассортимента, бывшие в употреблении товары:</w:t>
            </w:r>
          </w:p>
          <w:p w:rsidR="007A14DD" w:rsidRDefault="007A14DD">
            <w:pPr>
              <w:pStyle w:val="ConsPlusNormal"/>
              <w:jc w:val="center"/>
            </w:pPr>
            <w:r>
              <w:t>с площадью торгового зала: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- 0,135,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- 0,081,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- 0,063.</w:t>
            </w:r>
          </w:p>
        </w:tc>
      </w:tr>
      <w:tr w:rsidR="007A14DD" w:rsidTr="007A14DD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2494" w:type="dxa"/>
            <w:tcBorders>
              <w:top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1651" w:type="dxa"/>
            <w:tcBorders>
              <w:top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1512" w:type="dxa"/>
            <w:tcBorders>
              <w:top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3733" w:type="dxa"/>
            <w:tcBorders>
              <w:top w:val="nil"/>
            </w:tcBorders>
          </w:tcPr>
          <w:p w:rsidR="007A14DD" w:rsidRDefault="007A14DD">
            <w:pPr>
              <w:pStyle w:val="ConsPlusNormal"/>
              <w:jc w:val="both"/>
            </w:pPr>
            <w:r>
              <w:t>Прочий ассортимент:</w:t>
            </w:r>
          </w:p>
          <w:p w:rsidR="007A14DD" w:rsidRDefault="007A14DD">
            <w:pPr>
              <w:pStyle w:val="ConsPlusNormal"/>
              <w:jc w:val="center"/>
            </w:pPr>
            <w:r>
              <w:t>с площадью торгового зала: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- 0,243,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- 0,135,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- 0,090.</w:t>
            </w:r>
          </w:p>
          <w:p w:rsidR="007A14DD" w:rsidRDefault="007A14DD">
            <w:pPr>
              <w:pStyle w:val="ConsPlusNormal"/>
              <w:jc w:val="both"/>
            </w:pPr>
            <w:r>
              <w:t>Аптеки и аптечные пункты, реализующие медикаменты по программе "дополнительное лекарственное обеспечение":</w:t>
            </w:r>
          </w:p>
          <w:p w:rsidR="007A14DD" w:rsidRDefault="007A14DD">
            <w:pPr>
              <w:pStyle w:val="ConsPlusNormal"/>
              <w:jc w:val="center"/>
            </w:pPr>
            <w:r>
              <w:lastRenderedPageBreak/>
              <w:t>с площадью торгового зала: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- 0,150,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- 0,090,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- 0,040.</w:t>
            </w:r>
          </w:p>
          <w:p w:rsidR="007A14DD" w:rsidRDefault="007A14DD">
            <w:pPr>
              <w:pStyle w:val="ConsPlusNormal"/>
              <w:jc w:val="both"/>
            </w:pPr>
            <w:r>
              <w:t>Аптеки и аптечные пункты:</w:t>
            </w:r>
          </w:p>
          <w:p w:rsidR="007A14DD" w:rsidRDefault="007A14DD">
            <w:pPr>
              <w:pStyle w:val="ConsPlusNormal"/>
              <w:jc w:val="center"/>
            </w:pPr>
            <w:r>
              <w:t>с площадью торгового места:</w:t>
            </w:r>
          </w:p>
          <w:p w:rsidR="007A14DD" w:rsidRDefault="007A14DD">
            <w:pPr>
              <w:pStyle w:val="ConsPlusNormal"/>
              <w:jc w:val="both"/>
            </w:pPr>
            <w:r>
              <w:t>от 5 до 50 кв. м - 0,190,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- 0,120,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- 0,100.</w:t>
            </w:r>
          </w:p>
        </w:tc>
      </w:tr>
      <w:tr w:rsidR="007A14DD" w:rsidTr="007A14D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2494" w:type="dxa"/>
            <w:tcBorders>
              <w:bottom w:val="nil"/>
            </w:tcBorders>
          </w:tcPr>
          <w:p w:rsidR="007A14DD" w:rsidRDefault="007A14DD">
            <w:pPr>
              <w:pStyle w:val="ConsPlusNormal"/>
              <w:jc w:val="center"/>
            </w:pPr>
            <w:r>
              <w:t xml:space="preserve">сельские поселения, </w:t>
            </w:r>
            <w:proofErr w:type="spellStart"/>
            <w:r>
              <w:t>Лодейнопольское</w:t>
            </w:r>
            <w:proofErr w:type="spellEnd"/>
            <w:r>
              <w:t xml:space="preserve"> городское поселение (за исключением </w:t>
            </w:r>
            <w:proofErr w:type="gramStart"/>
            <w:r>
              <w:t>г</w:t>
            </w:r>
            <w:proofErr w:type="gramEnd"/>
            <w:r>
              <w:t>. Лодейное Поле)</w:t>
            </w:r>
          </w:p>
        </w:tc>
        <w:tc>
          <w:tcPr>
            <w:tcW w:w="1651" w:type="dxa"/>
            <w:tcBorders>
              <w:bottom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1512" w:type="dxa"/>
            <w:tcBorders>
              <w:bottom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3733" w:type="dxa"/>
            <w:tcBorders>
              <w:bottom w:val="nil"/>
            </w:tcBorders>
          </w:tcPr>
          <w:p w:rsidR="007A14DD" w:rsidRDefault="007A14DD">
            <w:pPr>
              <w:pStyle w:val="ConsPlusNormal"/>
              <w:jc w:val="both"/>
            </w:pPr>
            <w:r>
              <w:t>Продовольственные товары:</w:t>
            </w:r>
          </w:p>
          <w:p w:rsidR="007A14DD" w:rsidRDefault="007A14DD">
            <w:pPr>
              <w:pStyle w:val="ConsPlusNormal"/>
              <w:jc w:val="both"/>
            </w:pPr>
            <w:r>
              <w:t>при наличии алкогольной продукции:</w:t>
            </w:r>
          </w:p>
          <w:p w:rsidR="007A14DD" w:rsidRDefault="007A14DD">
            <w:pPr>
              <w:pStyle w:val="ConsPlusNormal"/>
              <w:jc w:val="center"/>
            </w:pPr>
            <w:r>
              <w:t>с площадью торгового зала: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- 0,210,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- 0,110,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- 0,080.</w:t>
            </w:r>
          </w:p>
          <w:p w:rsidR="007A14DD" w:rsidRDefault="007A14DD">
            <w:pPr>
              <w:pStyle w:val="ConsPlusNormal"/>
              <w:jc w:val="both"/>
            </w:pPr>
            <w:r>
              <w:t>Непродовольственные товары</w:t>
            </w:r>
          </w:p>
          <w:p w:rsidR="007A14DD" w:rsidRDefault="007A14DD">
            <w:pPr>
              <w:pStyle w:val="ConsPlusNormal"/>
              <w:jc w:val="both"/>
            </w:pPr>
            <w:proofErr w:type="gramStart"/>
            <w:r>
              <w:t>при наличии, радио- и телеаппаратуры, аудио- и видеоаппаратуры, офисной мебели, офисных машин и оборудования, компьютеров, программного обеспечения и периферийных устройств, фотоаппаратуры, оптических и точных приборов, бытовых электротоваров, ювелирных изделий, автомобильных деталей, узлов и принадлежностей:</w:t>
            </w:r>
            <w:proofErr w:type="gramEnd"/>
          </w:p>
          <w:p w:rsidR="007A14DD" w:rsidRDefault="007A14DD">
            <w:pPr>
              <w:pStyle w:val="ConsPlusNormal"/>
              <w:jc w:val="center"/>
            </w:pPr>
            <w:r>
              <w:t>с площадью торгового зала: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- 0,189,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- 0,099,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- 0,072.</w:t>
            </w:r>
          </w:p>
          <w:p w:rsidR="007A14DD" w:rsidRDefault="007A14DD">
            <w:pPr>
              <w:pStyle w:val="ConsPlusNormal"/>
              <w:jc w:val="both"/>
            </w:pPr>
            <w:r>
              <w:t>Специализированные магазины:</w:t>
            </w:r>
          </w:p>
          <w:p w:rsidR="007A14DD" w:rsidRDefault="007A14DD">
            <w:pPr>
              <w:pStyle w:val="ConsPlusNormal"/>
              <w:jc w:val="both"/>
            </w:pPr>
            <w:r>
              <w:t>сувениры, изделия народных художественных промыслов, предметы культового и религиозного назначения, похоронные принадлежности, молочные продукты, хлеб и хлебобулочные изделия, фрукты, овощи и картофель, газеты и журналы, писчебумажные и канцелярские товары, игры и игрушки, товары детского ассортимента, бывшие в употреблении товары:</w:t>
            </w:r>
          </w:p>
          <w:p w:rsidR="007A14DD" w:rsidRDefault="007A14DD">
            <w:pPr>
              <w:pStyle w:val="ConsPlusNormal"/>
              <w:jc w:val="center"/>
            </w:pPr>
            <w:r>
              <w:t>с площадью торгового зала: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- 0,081,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- 0,054,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- 0,027.</w:t>
            </w:r>
          </w:p>
        </w:tc>
      </w:tr>
      <w:tr w:rsidR="007A14DD" w:rsidTr="007A14DD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2494" w:type="dxa"/>
            <w:tcBorders>
              <w:top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1651" w:type="dxa"/>
            <w:tcBorders>
              <w:top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1512" w:type="dxa"/>
            <w:tcBorders>
              <w:top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3733" w:type="dxa"/>
            <w:tcBorders>
              <w:top w:val="nil"/>
            </w:tcBorders>
          </w:tcPr>
          <w:p w:rsidR="007A14DD" w:rsidRDefault="007A14DD">
            <w:pPr>
              <w:pStyle w:val="ConsPlusNormal"/>
              <w:jc w:val="both"/>
            </w:pPr>
            <w:r>
              <w:t>Магазины, расположенные в отдаленной труднодоступной местности &lt;*&gt;:</w:t>
            </w:r>
          </w:p>
          <w:p w:rsidR="007A14DD" w:rsidRDefault="007A14DD">
            <w:pPr>
              <w:pStyle w:val="ConsPlusNormal"/>
              <w:jc w:val="center"/>
            </w:pPr>
            <w:r>
              <w:lastRenderedPageBreak/>
              <w:t>с площадью торгового зала: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- 0,009,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- 0,008,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- 0,007.</w:t>
            </w:r>
          </w:p>
          <w:p w:rsidR="007A14DD" w:rsidRDefault="007A14DD">
            <w:pPr>
              <w:pStyle w:val="ConsPlusNormal"/>
              <w:jc w:val="both"/>
            </w:pPr>
            <w:r>
              <w:t>Прочий ассортимент:</w:t>
            </w:r>
          </w:p>
          <w:p w:rsidR="007A14DD" w:rsidRDefault="007A14DD">
            <w:pPr>
              <w:pStyle w:val="ConsPlusNormal"/>
              <w:jc w:val="center"/>
            </w:pPr>
            <w:r>
              <w:t>с площадью торгового зала: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- 0,099,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- 0,072,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- 0,045.</w:t>
            </w:r>
          </w:p>
          <w:p w:rsidR="007A14DD" w:rsidRDefault="007A14DD">
            <w:pPr>
              <w:pStyle w:val="ConsPlusNormal"/>
              <w:jc w:val="both"/>
            </w:pPr>
            <w:r>
              <w:t>Аптеки и аптечные пункты, реализующие медикаменты по программе "дополнительное лекарственное обеспечение":</w:t>
            </w:r>
          </w:p>
          <w:p w:rsidR="007A14DD" w:rsidRDefault="007A14DD">
            <w:pPr>
              <w:pStyle w:val="ConsPlusNormal"/>
              <w:jc w:val="center"/>
            </w:pPr>
            <w:r>
              <w:t>с площадью торгового зала: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- 0,120,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- 0,080,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- 0,030.</w:t>
            </w:r>
          </w:p>
          <w:p w:rsidR="007A14DD" w:rsidRDefault="007A14DD">
            <w:pPr>
              <w:pStyle w:val="ConsPlusNormal"/>
              <w:jc w:val="both"/>
            </w:pPr>
            <w:r>
              <w:t>Аптеки и аптечные пункты:</w:t>
            </w:r>
          </w:p>
          <w:p w:rsidR="007A14DD" w:rsidRDefault="007A14DD">
            <w:pPr>
              <w:pStyle w:val="ConsPlusNormal"/>
              <w:jc w:val="center"/>
            </w:pPr>
            <w:r>
              <w:t>с площадью торгового зала:</w:t>
            </w:r>
          </w:p>
          <w:p w:rsidR="007A14DD" w:rsidRDefault="007A14DD">
            <w:pPr>
              <w:pStyle w:val="ConsPlusNormal"/>
              <w:jc w:val="both"/>
            </w:pPr>
            <w:r>
              <w:t>от 5 до 50 кв. м - 0,110,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- 0,100,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- 0,050</w:t>
            </w:r>
          </w:p>
        </w:tc>
      </w:tr>
      <w:tr w:rsidR="007A14DD" w:rsidTr="007A14DD">
        <w:tc>
          <w:tcPr>
            <w:tcW w:w="737" w:type="dxa"/>
          </w:tcPr>
          <w:p w:rsidR="007A14DD" w:rsidRDefault="007A14DD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2494" w:type="dxa"/>
          </w:tcPr>
          <w:p w:rsidR="007A14DD" w:rsidRDefault="007A14DD">
            <w:pPr>
              <w:pStyle w:val="ConsPlusNormal"/>
              <w:jc w:val="center"/>
            </w:pPr>
            <w:r>
              <w:t>Развозная и разносная розничная торговля</w:t>
            </w:r>
          </w:p>
        </w:tc>
        <w:tc>
          <w:tcPr>
            <w:tcW w:w="1651" w:type="dxa"/>
          </w:tcPr>
          <w:p w:rsidR="007A14DD" w:rsidRDefault="007A14DD">
            <w:pPr>
              <w:pStyle w:val="ConsPlusNormal"/>
              <w:jc w:val="center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512" w:type="dxa"/>
          </w:tcPr>
          <w:p w:rsidR="007A14DD" w:rsidRDefault="007A14DD">
            <w:pPr>
              <w:pStyle w:val="ConsPlusNormal"/>
              <w:jc w:val="center"/>
            </w:pPr>
            <w:r>
              <w:t>4500</w:t>
            </w:r>
          </w:p>
        </w:tc>
        <w:tc>
          <w:tcPr>
            <w:tcW w:w="3733" w:type="dxa"/>
          </w:tcPr>
          <w:p w:rsidR="007A14DD" w:rsidRDefault="007A14DD">
            <w:pPr>
              <w:pStyle w:val="ConsPlusNormal"/>
              <w:jc w:val="both"/>
            </w:pPr>
            <w:r>
              <w:t>Торговля изделиями народных художественных промыслов и сувенирной продукцией собственного производства - 0,720;</w:t>
            </w:r>
          </w:p>
          <w:p w:rsidR="007A14DD" w:rsidRDefault="007A14DD">
            <w:pPr>
              <w:pStyle w:val="ConsPlusNormal"/>
              <w:jc w:val="both"/>
            </w:pPr>
            <w:r>
              <w:t>торговля прочими товарами - 0,855</w:t>
            </w:r>
          </w:p>
        </w:tc>
      </w:tr>
      <w:tr w:rsidR="007A14DD" w:rsidTr="007A14DD">
        <w:tc>
          <w:tcPr>
            <w:tcW w:w="737" w:type="dxa"/>
          </w:tcPr>
          <w:p w:rsidR="007A14DD" w:rsidRDefault="007A14D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494" w:type="dxa"/>
          </w:tcPr>
          <w:p w:rsidR="007A14DD" w:rsidRDefault="007A14DD">
            <w:pPr>
              <w:pStyle w:val="ConsPlusNormal"/>
              <w:jc w:val="center"/>
            </w:pPr>
            <w: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651" w:type="dxa"/>
          </w:tcPr>
          <w:p w:rsidR="007A14DD" w:rsidRDefault="007A14DD">
            <w:pPr>
              <w:pStyle w:val="ConsPlusNormal"/>
              <w:jc w:val="center"/>
            </w:pPr>
            <w:r>
              <w:t>Площадь зала обслуживания (в квадратных метрах)</w:t>
            </w:r>
          </w:p>
        </w:tc>
        <w:tc>
          <w:tcPr>
            <w:tcW w:w="1512" w:type="dxa"/>
          </w:tcPr>
          <w:p w:rsidR="007A14DD" w:rsidRDefault="007A14DD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3733" w:type="dxa"/>
          </w:tcPr>
          <w:p w:rsidR="007A14DD" w:rsidRDefault="007A14DD">
            <w:pPr>
              <w:pStyle w:val="ConsPlusNormal"/>
              <w:jc w:val="both"/>
            </w:pPr>
          </w:p>
        </w:tc>
      </w:tr>
      <w:tr w:rsidR="007A14DD" w:rsidTr="007A14D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2494" w:type="dxa"/>
            <w:tcBorders>
              <w:bottom w:val="nil"/>
            </w:tcBorders>
          </w:tcPr>
          <w:p w:rsidR="007A14DD" w:rsidRDefault="007A14DD">
            <w:pPr>
              <w:pStyle w:val="ConsPlusNormal"/>
              <w:jc w:val="center"/>
            </w:pPr>
            <w:proofErr w:type="spellStart"/>
            <w:r>
              <w:t>Лодейнопольское</w:t>
            </w:r>
            <w:proofErr w:type="spellEnd"/>
            <w:r>
              <w:t xml:space="preserve"> городское поселение (применительно к </w:t>
            </w:r>
            <w:proofErr w:type="gramStart"/>
            <w:r>
              <w:t>г</w:t>
            </w:r>
            <w:proofErr w:type="gramEnd"/>
            <w:r>
              <w:t>. Лодейное Поле)</w:t>
            </w:r>
          </w:p>
        </w:tc>
        <w:tc>
          <w:tcPr>
            <w:tcW w:w="1651" w:type="dxa"/>
            <w:tcBorders>
              <w:bottom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1512" w:type="dxa"/>
            <w:tcBorders>
              <w:bottom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3733" w:type="dxa"/>
            <w:tcBorders>
              <w:bottom w:val="nil"/>
            </w:tcBorders>
          </w:tcPr>
          <w:p w:rsidR="007A14DD" w:rsidRDefault="007A14DD">
            <w:pPr>
              <w:pStyle w:val="ConsPlusNormal"/>
              <w:jc w:val="both"/>
            </w:pPr>
            <w:r>
              <w:t>Предприятия общественного питания, реализующие алкогольную продукцию, с режимом закрытия до 23 часов:</w:t>
            </w:r>
          </w:p>
          <w:p w:rsidR="007A14DD" w:rsidRDefault="007A14DD">
            <w:pPr>
              <w:pStyle w:val="ConsPlusNormal"/>
              <w:jc w:val="center"/>
            </w:pPr>
            <w:r>
              <w:t>с площадью зала обслуживания посетителей: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- 0,252,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- 0,198,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- 0,180.</w:t>
            </w:r>
          </w:p>
          <w:p w:rsidR="007A14DD" w:rsidRDefault="007A14DD">
            <w:pPr>
              <w:pStyle w:val="ConsPlusNormal"/>
              <w:jc w:val="both"/>
            </w:pPr>
            <w:r>
              <w:t>Предприятия общественного питания, реализующие алкогольную продукцию, с режимом закрытия после 23 часов:</w:t>
            </w:r>
          </w:p>
          <w:p w:rsidR="007A14DD" w:rsidRDefault="007A14DD">
            <w:pPr>
              <w:pStyle w:val="ConsPlusNormal"/>
              <w:jc w:val="center"/>
            </w:pPr>
            <w:r>
              <w:t xml:space="preserve">с площадью зала обслуживания </w:t>
            </w:r>
            <w:r>
              <w:lastRenderedPageBreak/>
              <w:t>посетителей: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- 0,360,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- 0,315,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- 0,252.</w:t>
            </w:r>
          </w:p>
          <w:p w:rsidR="007A14DD" w:rsidRDefault="007A14DD">
            <w:pPr>
              <w:pStyle w:val="ConsPlusNormal"/>
              <w:jc w:val="both"/>
            </w:pPr>
            <w:r>
              <w:t xml:space="preserve">Предприятия общественного питания без реализации алкогольной продукции, имеющие концертную программу с периодичностью проведения более 2 раз в месяц </w:t>
            </w:r>
            <w:proofErr w:type="gramStart"/>
            <w:r>
              <w:t>и(</w:t>
            </w:r>
            <w:proofErr w:type="gramEnd"/>
            <w:r>
              <w:t>или) имеющие бильярд, с режимом закрытия до 23 часов:</w:t>
            </w:r>
          </w:p>
          <w:p w:rsidR="007A14DD" w:rsidRDefault="007A14DD">
            <w:pPr>
              <w:pStyle w:val="ConsPlusNormal"/>
              <w:jc w:val="center"/>
            </w:pPr>
            <w:r>
              <w:t>с площадью зала обслуживания посетителей: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- 0,180;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- 0,162;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- 0,144.</w:t>
            </w:r>
          </w:p>
          <w:p w:rsidR="007A14DD" w:rsidRDefault="007A14DD">
            <w:pPr>
              <w:pStyle w:val="ConsPlusNormal"/>
              <w:jc w:val="both"/>
            </w:pPr>
            <w:r>
              <w:t xml:space="preserve">Предприятия общественного питания без реализации алкогольной продукции, имеющие концертную программу с периодичностью проведения более 2 раз в месяц </w:t>
            </w:r>
            <w:proofErr w:type="gramStart"/>
            <w:r>
              <w:t>и(</w:t>
            </w:r>
            <w:proofErr w:type="gramEnd"/>
            <w:r>
              <w:t>или) имеющие бильярд, с режимом закрытия после 23 часов:</w:t>
            </w:r>
          </w:p>
          <w:p w:rsidR="007A14DD" w:rsidRDefault="007A14DD">
            <w:pPr>
              <w:pStyle w:val="ConsPlusNormal"/>
              <w:jc w:val="center"/>
            </w:pPr>
            <w:r>
              <w:t>с площадью зала обслуживания посетителей: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- 0,198;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- 0,180;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- 0,171.</w:t>
            </w:r>
          </w:p>
        </w:tc>
      </w:tr>
      <w:tr w:rsidR="007A14DD" w:rsidTr="007A14DD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2494" w:type="dxa"/>
            <w:tcBorders>
              <w:top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1651" w:type="dxa"/>
            <w:tcBorders>
              <w:top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1512" w:type="dxa"/>
            <w:tcBorders>
              <w:top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3733" w:type="dxa"/>
            <w:tcBorders>
              <w:top w:val="nil"/>
            </w:tcBorders>
          </w:tcPr>
          <w:p w:rsidR="007A14DD" w:rsidRDefault="007A14DD">
            <w:pPr>
              <w:pStyle w:val="ConsPlusNormal"/>
              <w:jc w:val="both"/>
            </w:pPr>
            <w:r>
              <w:t xml:space="preserve">Предприятия общественного питания без реализации алкогольной продукции, и имеющие концертную программу с периодичностью проведения не более 2 раз в месяц </w:t>
            </w:r>
            <w:proofErr w:type="gramStart"/>
            <w:r>
              <w:t>и(</w:t>
            </w:r>
            <w:proofErr w:type="gramEnd"/>
            <w:r>
              <w:t>или) имеющие бильярд, с режимом закрытия до 23 часов:</w:t>
            </w:r>
          </w:p>
          <w:p w:rsidR="007A14DD" w:rsidRDefault="007A14DD">
            <w:pPr>
              <w:pStyle w:val="ConsPlusNormal"/>
              <w:jc w:val="center"/>
            </w:pPr>
            <w:r>
              <w:t>с площадью зала обслуживания посетителей: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- 0,162;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- 0,144;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- 0,135.</w:t>
            </w:r>
          </w:p>
          <w:p w:rsidR="007A14DD" w:rsidRDefault="007A14DD">
            <w:pPr>
              <w:pStyle w:val="ConsPlusNormal"/>
              <w:jc w:val="both"/>
            </w:pPr>
            <w:r>
              <w:t xml:space="preserve">Предприятия общественного питания без реализации алкогольной продукции, и имеющие концертную программу с периодичностью проведения не более 2 раз в месяц </w:t>
            </w:r>
            <w:proofErr w:type="gramStart"/>
            <w:r>
              <w:t>и(</w:t>
            </w:r>
            <w:proofErr w:type="gramEnd"/>
            <w:r>
              <w:t>или) имеющие бильярд, с режимом закрытия после 23 часов:</w:t>
            </w:r>
          </w:p>
          <w:p w:rsidR="007A14DD" w:rsidRDefault="007A14DD">
            <w:pPr>
              <w:pStyle w:val="ConsPlusNormal"/>
              <w:jc w:val="center"/>
            </w:pPr>
            <w:r>
              <w:t>с площадью зала обслуживания посетителей: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- 0,157;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- 0,153;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- 0,144.</w:t>
            </w:r>
          </w:p>
          <w:p w:rsidR="007A14DD" w:rsidRDefault="007A14DD">
            <w:pPr>
              <w:pStyle w:val="ConsPlusNormal"/>
              <w:jc w:val="both"/>
            </w:pPr>
            <w:r>
              <w:lastRenderedPageBreak/>
              <w:t xml:space="preserve">Предприятия общественного питания без реализации алкогольной продукции, не имеющие концертную программу </w:t>
            </w:r>
            <w:proofErr w:type="gramStart"/>
            <w:r>
              <w:t>и(</w:t>
            </w:r>
            <w:proofErr w:type="gramEnd"/>
            <w:r>
              <w:t>или) бильярд, с режимом закрытия до 23 часов:</w:t>
            </w:r>
          </w:p>
          <w:p w:rsidR="007A14DD" w:rsidRDefault="007A14DD">
            <w:pPr>
              <w:pStyle w:val="ConsPlusNormal"/>
              <w:jc w:val="center"/>
            </w:pPr>
            <w:r>
              <w:t>с площадью зала обслуживания посетителей: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- 0,148;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- 0,135;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- 0,126.</w:t>
            </w:r>
          </w:p>
          <w:p w:rsidR="007A14DD" w:rsidRDefault="007A14DD">
            <w:pPr>
              <w:pStyle w:val="ConsPlusNormal"/>
              <w:jc w:val="both"/>
            </w:pPr>
            <w:r>
              <w:t xml:space="preserve">Предприятия общественного питания без реализации алкогольной продукции, не имеющие концертную программу </w:t>
            </w:r>
            <w:proofErr w:type="gramStart"/>
            <w:r>
              <w:t>и(</w:t>
            </w:r>
            <w:proofErr w:type="gramEnd"/>
            <w:r>
              <w:t>или) бильярд с режимом закрытия после 23 часов:</w:t>
            </w:r>
          </w:p>
          <w:p w:rsidR="007A14DD" w:rsidRDefault="007A14DD">
            <w:pPr>
              <w:pStyle w:val="ConsPlusNormal"/>
              <w:jc w:val="center"/>
            </w:pPr>
            <w:r>
              <w:t>с площадью зала обслуживания посетителей: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- 0,153;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- 0,144;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- 0,139</w:t>
            </w:r>
          </w:p>
        </w:tc>
      </w:tr>
      <w:tr w:rsidR="007A14DD" w:rsidTr="007A14D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2494" w:type="dxa"/>
            <w:tcBorders>
              <w:bottom w:val="nil"/>
            </w:tcBorders>
          </w:tcPr>
          <w:p w:rsidR="007A14DD" w:rsidRDefault="007A14DD">
            <w:pPr>
              <w:pStyle w:val="ConsPlusNormal"/>
              <w:jc w:val="center"/>
            </w:pPr>
            <w:proofErr w:type="spellStart"/>
            <w:r>
              <w:t>Свирьстройское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651" w:type="dxa"/>
            <w:tcBorders>
              <w:bottom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1512" w:type="dxa"/>
            <w:tcBorders>
              <w:bottom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3733" w:type="dxa"/>
            <w:tcBorders>
              <w:bottom w:val="nil"/>
            </w:tcBorders>
          </w:tcPr>
          <w:p w:rsidR="007A14DD" w:rsidRDefault="007A14DD">
            <w:pPr>
              <w:pStyle w:val="ConsPlusNormal"/>
              <w:jc w:val="both"/>
            </w:pPr>
            <w:r>
              <w:t>Предприятия общественного питания, реализующие алкогольную продукцию, с режимом закрытия до 23 часов:</w:t>
            </w:r>
          </w:p>
          <w:p w:rsidR="007A14DD" w:rsidRDefault="007A14DD">
            <w:pPr>
              <w:pStyle w:val="ConsPlusNormal"/>
              <w:jc w:val="center"/>
            </w:pPr>
            <w:r>
              <w:t>с площадью зала обслуживания посетителей: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- 0,252,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- 0,180,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- 0,144.</w:t>
            </w:r>
          </w:p>
          <w:p w:rsidR="007A14DD" w:rsidRDefault="007A14DD">
            <w:pPr>
              <w:pStyle w:val="ConsPlusNormal"/>
              <w:jc w:val="both"/>
            </w:pPr>
            <w:r>
              <w:t>Предприятия общественного питания, реализующие алкогольную продукцию, с режимом закрытия после 23 часов:</w:t>
            </w:r>
          </w:p>
          <w:p w:rsidR="007A14DD" w:rsidRDefault="007A14DD">
            <w:pPr>
              <w:pStyle w:val="ConsPlusNormal"/>
              <w:jc w:val="center"/>
            </w:pPr>
            <w:r>
              <w:t>с площадью зала обслуживания посетителей: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- 0,270,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- 0,198,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- 0,153.</w:t>
            </w:r>
          </w:p>
          <w:p w:rsidR="007A14DD" w:rsidRDefault="007A14DD">
            <w:pPr>
              <w:pStyle w:val="ConsPlusNormal"/>
              <w:jc w:val="both"/>
            </w:pPr>
            <w:r>
              <w:t xml:space="preserve">Предприятия общественного питания без реализации алкогольной продукции, имеющие концертную программу с периодичностью проведения более 2 раз в месяц </w:t>
            </w:r>
            <w:proofErr w:type="gramStart"/>
            <w:r>
              <w:t>и(</w:t>
            </w:r>
            <w:proofErr w:type="gramEnd"/>
            <w:r>
              <w:t>или) имеющие бильярд, с режимом закрытия до 23 часов:</w:t>
            </w:r>
          </w:p>
          <w:p w:rsidR="007A14DD" w:rsidRDefault="007A14DD">
            <w:pPr>
              <w:pStyle w:val="ConsPlusNormal"/>
              <w:jc w:val="center"/>
            </w:pPr>
            <w:r>
              <w:t>с площадью зала обслуживания посетителей: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- 0,162;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- 0,153;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- 0,135.</w:t>
            </w:r>
          </w:p>
          <w:p w:rsidR="007A14DD" w:rsidRDefault="007A14DD">
            <w:pPr>
              <w:pStyle w:val="ConsPlusNormal"/>
              <w:jc w:val="both"/>
            </w:pPr>
            <w:r>
              <w:t xml:space="preserve">Предприятия общественного питания без реализации алкогольной </w:t>
            </w:r>
            <w:r>
              <w:lastRenderedPageBreak/>
              <w:t xml:space="preserve">продукции, имеющие концертную программу с периодичностью проведения более 2 раз в месяц </w:t>
            </w:r>
            <w:proofErr w:type="gramStart"/>
            <w:r>
              <w:t>и(</w:t>
            </w:r>
            <w:proofErr w:type="gramEnd"/>
            <w:r>
              <w:t>или) имеющие бильярд, с режимом закрытия после 23 часов:</w:t>
            </w:r>
          </w:p>
          <w:p w:rsidR="007A14DD" w:rsidRDefault="007A14DD">
            <w:pPr>
              <w:pStyle w:val="ConsPlusNormal"/>
              <w:jc w:val="center"/>
            </w:pPr>
            <w:r>
              <w:t>с площадью зала обслуживания посетителей: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- 0,225;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- 0,180;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- 0,162.</w:t>
            </w:r>
          </w:p>
        </w:tc>
      </w:tr>
      <w:tr w:rsidR="007A14DD" w:rsidTr="007A14DD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2494" w:type="dxa"/>
            <w:tcBorders>
              <w:top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1651" w:type="dxa"/>
            <w:tcBorders>
              <w:top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1512" w:type="dxa"/>
            <w:tcBorders>
              <w:top w:val="nil"/>
            </w:tcBorders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3733" w:type="dxa"/>
            <w:tcBorders>
              <w:top w:val="nil"/>
            </w:tcBorders>
          </w:tcPr>
          <w:p w:rsidR="007A14DD" w:rsidRDefault="007A14DD">
            <w:pPr>
              <w:pStyle w:val="ConsPlusNormal"/>
              <w:jc w:val="both"/>
            </w:pPr>
            <w:r>
              <w:t>Предприятия общественного питания без реализации алкогольной продукции, не имеющие концертную программу или имеющие концертную программу с периодичностью проведения не более 2 раз в месяц:</w:t>
            </w:r>
          </w:p>
          <w:p w:rsidR="007A14DD" w:rsidRDefault="007A14DD">
            <w:pPr>
              <w:pStyle w:val="ConsPlusNormal"/>
              <w:jc w:val="center"/>
            </w:pPr>
            <w:r>
              <w:t>с площадью зала обслуживания посетителей: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- 0,144;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- 0,135;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- 0,117</w:t>
            </w:r>
          </w:p>
        </w:tc>
      </w:tr>
      <w:tr w:rsidR="007A14DD" w:rsidTr="007A14DD">
        <w:tc>
          <w:tcPr>
            <w:tcW w:w="737" w:type="dxa"/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2494" w:type="dxa"/>
          </w:tcPr>
          <w:p w:rsidR="007A14DD" w:rsidRDefault="007A14DD">
            <w:pPr>
              <w:pStyle w:val="ConsPlusNormal"/>
              <w:jc w:val="center"/>
            </w:pPr>
            <w:r>
              <w:t xml:space="preserve">Сельские поселения, </w:t>
            </w:r>
            <w:proofErr w:type="spellStart"/>
            <w:r>
              <w:t>Лодейнопольское</w:t>
            </w:r>
            <w:proofErr w:type="spellEnd"/>
            <w:r>
              <w:t xml:space="preserve"> городское поселение (за исключением </w:t>
            </w:r>
            <w:proofErr w:type="gramStart"/>
            <w:r>
              <w:t>г</w:t>
            </w:r>
            <w:proofErr w:type="gramEnd"/>
            <w:r>
              <w:t>. Лодейное Поле)</w:t>
            </w:r>
          </w:p>
        </w:tc>
        <w:tc>
          <w:tcPr>
            <w:tcW w:w="1651" w:type="dxa"/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1512" w:type="dxa"/>
          </w:tcPr>
          <w:p w:rsidR="007A14DD" w:rsidRDefault="007A14DD">
            <w:pPr>
              <w:pStyle w:val="ConsPlusNormal"/>
              <w:jc w:val="center"/>
            </w:pPr>
          </w:p>
        </w:tc>
        <w:tc>
          <w:tcPr>
            <w:tcW w:w="3733" w:type="dxa"/>
          </w:tcPr>
          <w:p w:rsidR="007A14DD" w:rsidRDefault="007A14DD">
            <w:pPr>
              <w:pStyle w:val="ConsPlusNormal"/>
              <w:jc w:val="both"/>
            </w:pPr>
            <w:r>
              <w:t>Предприятия общественного питания, реализующие алкогольную продукцию:</w:t>
            </w:r>
          </w:p>
          <w:p w:rsidR="007A14DD" w:rsidRDefault="007A14DD">
            <w:pPr>
              <w:pStyle w:val="ConsPlusNormal"/>
              <w:jc w:val="center"/>
            </w:pPr>
            <w:r>
              <w:t>с площадью зала обслуживания посетителей: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- 0,171,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- 0,108,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- 0,081.</w:t>
            </w:r>
          </w:p>
          <w:p w:rsidR="007A14DD" w:rsidRDefault="007A14DD">
            <w:pPr>
              <w:pStyle w:val="ConsPlusNormal"/>
              <w:jc w:val="both"/>
            </w:pPr>
            <w:r>
              <w:t>Предприятия общественного питания без реализации алкогольной продукции, не имеющие концертную программу или имеющие концертную программу с периодичностью проведения не более 2 раз в месяц:</w:t>
            </w:r>
          </w:p>
          <w:p w:rsidR="007A14DD" w:rsidRDefault="007A14DD">
            <w:pPr>
              <w:pStyle w:val="ConsPlusNormal"/>
              <w:jc w:val="center"/>
            </w:pPr>
            <w:r>
              <w:t>с площадью зала обслуживания посетителей:</w:t>
            </w:r>
          </w:p>
          <w:p w:rsidR="007A14DD" w:rsidRDefault="007A14DD">
            <w:pPr>
              <w:pStyle w:val="ConsPlusNormal"/>
              <w:jc w:val="both"/>
            </w:pPr>
            <w:r>
              <w:t>до 50 кв. м - 0,090;</w:t>
            </w:r>
          </w:p>
          <w:p w:rsidR="007A14DD" w:rsidRDefault="007A14DD">
            <w:pPr>
              <w:pStyle w:val="ConsPlusNormal"/>
              <w:jc w:val="both"/>
            </w:pPr>
            <w:r>
              <w:t>от 51 до 100 кв. м - 0,018;</w:t>
            </w:r>
          </w:p>
          <w:p w:rsidR="007A14DD" w:rsidRDefault="007A14DD">
            <w:pPr>
              <w:pStyle w:val="ConsPlusNormal"/>
              <w:jc w:val="both"/>
            </w:pPr>
            <w:r>
              <w:t>от 101 до 150 кв. м - 0,009.</w:t>
            </w:r>
          </w:p>
          <w:p w:rsidR="007A14DD" w:rsidRDefault="007A14DD">
            <w:pPr>
              <w:pStyle w:val="ConsPlusNormal"/>
              <w:jc w:val="both"/>
            </w:pPr>
            <w:r>
              <w:t>Прочие предприятия общественного питания в отдаленной труднодоступной местности &lt;*&gt; - 0,004</w:t>
            </w:r>
          </w:p>
        </w:tc>
      </w:tr>
      <w:tr w:rsidR="007A14DD" w:rsidTr="007A14DD">
        <w:tc>
          <w:tcPr>
            <w:tcW w:w="737" w:type="dxa"/>
          </w:tcPr>
          <w:p w:rsidR="007A14DD" w:rsidRDefault="007A14D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494" w:type="dxa"/>
          </w:tcPr>
          <w:p w:rsidR="007A14DD" w:rsidRDefault="007A14DD">
            <w:pPr>
              <w:pStyle w:val="ConsPlusNormal"/>
              <w:jc w:val="center"/>
            </w:pPr>
            <w:r>
              <w:t xml:space="preserve">Оказание услуг общественного питания через объекты организации общественного питания, </w:t>
            </w:r>
            <w:r>
              <w:lastRenderedPageBreak/>
              <w:t>не имеющие залов обслуживания посетителей</w:t>
            </w:r>
          </w:p>
        </w:tc>
        <w:tc>
          <w:tcPr>
            <w:tcW w:w="1651" w:type="dxa"/>
          </w:tcPr>
          <w:p w:rsidR="007A14DD" w:rsidRDefault="007A14DD">
            <w:pPr>
              <w:pStyle w:val="ConsPlusNormal"/>
              <w:jc w:val="center"/>
            </w:pPr>
            <w:r>
              <w:lastRenderedPageBreak/>
              <w:t xml:space="preserve">Количество работников, включая индивидуального </w:t>
            </w:r>
            <w:r>
              <w:lastRenderedPageBreak/>
              <w:t>предпринимателя</w:t>
            </w:r>
          </w:p>
        </w:tc>
        <w:tc>
          <w:tcPr>
            <w:tcW w:w="1512" w:type="dxa"/>
          </w:tcPr>
          <w:p w:rsidR="007A14DD" w:rsidRDefault="007A14DD">
            <w:pPr>
              <w:pStyle w:val="ConsPlusNormal"/>
              <w:jc w:val="center"/>
            </w:pPr>
            <w:r>
              <w:lastRenderedPageBreak/>
              <w:t>4500</w:t>
            </w:r>
          </w:p>
        </w:tc>
        <w:tc>
          <w:tcPr>
            <w:tcW w:w="3733" w:type="dxa"/>
          </w:tcPr>
          <w:p w:rsidR="007A14DD" w:rsidRDefault="007A14DD">
            <w:pPr>
              <w:pStyle w:val="ConsPlusNormal"/>
              <w:jc w:val="both"/>
            </w:pPr>
            <w:r>
              <w:t>Объекты общественного питания, имеющие общую площадь:</w:t>
            </w:r>
          </w:p>
          <w:p w:rsidR="007A14DD" w:rsidRDefault="007A14DD">
            <w:pPr>
              <w:pStyle w:val="ConsPlusNormal"/>
              <w:jc w:val="both"/>
            </w:pPr>
            <w:r>
              <w:t>до 6 кв. м - 0,747,</w:t>
            </w:r>
          </w:p>
          <w:p w:rsidR="007A14DD" w:rsidRDefault="007A14DD">
            <w:pPr>
              <w:pStyle w:val="ConsPlusNormal"/>
              <w:jc w:val="both"/>
            </w:pPr>
            <w:r>
              <w:t>от 7 до 10 кв. м - 0,810,</w:t>
            </w:r>
          </w:p>
          <w:p w:rsidR="007A14DD" w:rsidRDefault="007A14DD">
            <w:pPr>
              <w:pStyle w:val="ConsPlusNormal"/>
              <w:jc w:val="both"/>
            </w:pPr>
            <w:r>
              <w:t>свыше 11 кв. м - 0,837</w:t>
            </w:r>
          </w:p>
        </w:tc>
      </w:tr>
      <w:tr w:rsidR="007A14DD" w:rsidTr="007A14DD">
        <w:tc>
          <w:tcPr>
            <w:tcW w:w="737" w:type="dxa"/>
          </w:tcPr>
          <w:p w:rsidR="007A14DD" w:rsidRDefault="007A14DD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2494" w:type="dxa"/>
          </w:tcPr>
          <w:p w:rsidR="007A14DD" w:rsidRDefault="007A14DD">
            <w:pPr>
              <w:pStyle w:val="ConsPlusNormal"/>
              <w:jc w:val="center"/>
            </w:pPr>
            <w:r>
              <w:t>Оказание услуг по временному размещению и проживанию</w:t>
            </w:r>
          </w:p>
        </w:tc>
        <w:tc>
          <w:tcPr>
            <w:tcW w:w="1651" w:type="dxa"/>
          </w:tcPr>
          <w:p w:rsidR="007A14DD" w:rsidRDefault="007A14DD">
            <w:pPr>
              <w:pStyle w:val="ConsPlusNormal"/>
              <w:jc w:val="center"/>
            </w:pPr>
            <w:r>
              <w:t>Общая площадь помещения для временного размещения и проживания (в квадратных метрах)</w:t>
            </w:r>
          </w:p>
        </w:tc>
        <w:tc>
          <w:tcPr>
            <w:tcW w:w="1512" w:type="dxa"/>
          </w:tcPr>
          <w:p w:rsidR="007A14DD" w:rsidRDefault="007A14DD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3733" w:type="dxa"/>
          </w:tcPr>
          <w:p w:rsidR="007A14DD" w:rsidRDefault="007A14DD">
            <w:pPr>
              <w:pStyle w:val="ConsPlusNormal"/>
              <w:jc w:val="both"/>
            </w:pPr>
            <w:r>
              <w:t>Площадь спального помещения:</w:t>
            </w:r>
          </w:p>
          <w:p w:rsidR="007A14DD" w:rsidRDefault="007A14DD">
            <w:pPr>
              <w:pStyle w:val="ConsPlusNormal"/>
              <w:jc w:val="both"/>
            </w:pPr>
            <w:r>
              <w:t>до 150 кв. м - 0,297,</w:t>
            </w:r>
          </w:p>
          <w:p w:rsidR="007A14DD" w:rsidRDefault="007A14DD">
            <w:pPr>
              <w:pStyle w:val="ConsPlusNormal"/>
              <w:jc w:val="both"/>
            </w:pPr>
            <w:r>
              <w:t>от 151 до 250 кв. м - 0,198,</w:t>
            </w:r>
          </w:p>
          <w:p w:rsidR="007A14DD" w:rsidRDefault="007A14DD">
            <w:pPr>
              <w:pStyle w:val="ConsPlusNormal"/>
              <w:jc w:val="both"/>
            </w:pPr>
            <w:r>
              <w:t>от 251 до 500 кв. м - 0,153</w:t>
            </w:r>
          </w:p>
        </w:tc>
      </w:tr>
    </w:tbl>
    <w:p w:rsidR="007A14DD" w:rsidRDefault="007A14DD">
      <w:pPr>
        <w:pStyle w:val="ConsPlusNormal"/>
        <w:ind w:firstLine="540"/>
        <w:jc w:val="both"/>
      </w:pPr>
    </w:p>
    <w:p w:rsidR="007A14DD" w:rsidRDefault="007A14DD">
      <w:pPr>
        <w:pStyle w:val="ConsPlusNormal"/>
        <w:ind w:firstLine="540"/>
        <w:jc w:val="both"/>
      </w:pPr>
      <w:r>
        <w:t>--------------------------------</w:t>
      </w:r>
    </w:p>
    <w:p w:rsidR="00CC4EB6" w:rsidRDefault="007A14DD" w:rsidP="007A14DD">
      <w:pPr>
        <w:pStyle w:val="ConsPlusNormal"/>
        <w:spacing w:before="220"/>
        <w:ind w:firstLine="540"/>
        <w:jc w:val="both"/>
      </w:pPr>
      <w:proofErr w:type="gramStart"/>
      <w:r>
        <w:t xml:space="preserve">&lt;*&gt; Д. </w:t>
      </w:r>
      <w:proofErr w:type="spellStart"/>
      <w:r>
        <w:t>Люговичи</w:t>
      </w:r>
      <w:proofErr w:type="spellEnd"/>
      <w:r>
        <w:t xml:space="preserve">, д. </w:t>
      </w:r>
      <w:proofErr w:type="spellStart"/>
      <w:r>
        <w:t>Имоченицы</w:t>
      </w:r>
      <w:proofErr w:type="spellEnd"/>
      <w:r>
        <w:t xml:space="preserve">, д. Акулова Гора, п. </w:t>
      </w:r>
      <w:proofErr w:type="spellStart"/>
      <w:r>
        <w:t>Ребовичи</w:t>
      </w:r>
      <w:proofErr w:type="spellEnd"/>
      <w:r>
        <w:t xml:space="preserve">, п. </w:t>
      </w:r>
      <w:proofErr w:type="spellStart"/>
      <w:r>
        <w:t>Шархиничи</w:t>
      </w:r>
      <w:proofErr w:type="spellEnd"/>
      <w:r>
        <w:t xml:space="preserve">, п. </w:t>
      </w:r>
      <w:proofErr w:type="spellStart"/>
      <w:r>
        <w:t>Мехбаза</w:t>
      </w:r>
      <w:proofErr w:type="spellEnd"/>
      <w:r>
        <w:t xml:space="preserve">, д. </w:t>
      </w:r>
      <w:proofErr w:type="spellStart"/>
      <w:r>
        <w:t>Ефремково</w:t>
      </w:r>
      <w:proofErr w:type="spellEnd"/>
      <w:r>
        <w:t xml:space="preserve">, д. </w:t>
      </w:r>
      <w:proofErr w:type="spellStart"/>
      <w:r>
        <w:t>Ратигора</w:t>
      </w:r>
      <w:proofErr w:type="spellEnd"/>
      <w:r>
        <w:t xml:space="preserve">, д. </w:t>
      </w:r>
      <w:proofErr w:type="spellStart"/>
      <w:r>
        <w:t>Надпорожье</w:t>
      </w:r>
      <w:proofErr w:type="spellEnd"/>
      <w:r>
        <w:t xml:space="preserve">, д. </w:t>
      </w:r>
      <w:proofErr w:type="spellStart"/>
      <w:r>
        <w:t>Тервеничи</w:t>
      </w:r>
      <w:proofErr w:type="spellEnd"/>
      <w:r>
        <w:t xml:space="preserve">, д. Ветхое Село, д. </w:t>
      </w:r>
      <w:proofErr w:type="spellStart"/>
      <w:r>
        <w:t>Хмелезеро</w:t>
      </w:r>
      <w:proofErr w:type="spellEnd"/>
      <w:r>
        <w:t xml:space="preserve">, д. </w:t>
      </w:r>
      <w:proofErr w:type="spellStart"/>
      <w:r>
        <w:t>Вонозеро</w:t>
      </w:r>
      <w:proofErr w:type="spellEnd"/>
      <w:r>
        <w:t xml:space="preserve">, д. </w:t>
      </w:r>
      <w:proofErr w:type="spellStart"/>
      <w:r>
        <w:t>Пирозеро</w:t>
      </w:r>
      <w:proofErr w:type="spellEnd"/>
      <w:r>
        <w:t xml:space="preserve">, д. </w:t>
      </w:r>
      <w:proofErr w:type="spellStart"/>
      <w:r>
        <w:t>Коковичи</w:t>
      </w:r>
      <w:proofErr w:type="spellEnd"/>
      <w:r>
        <w:t xml:space="preserve">, д. </w:t>
      </w:r>
      <w:proofErr w:type="spellStart"/>
      <w:r>
        <w:t>Яровщина</w:t>
      </w:r>
      <w:proofErr w:type="spellEnd"/>
      <w:r>
        <w:t xml:space="preserve">, д. </w:t>
      </w:r>
      <w:proofErr w:type="spellStart"/>
      <w:r>
        <w:t>Мергино</w:t>
      </w:r>
      <w:proofErr w:type="spellEnd"/>
      <w:r>
        <w:t xml:space="preserve">, д. </w:t>
      </w:r>
      <w:proofErr w:type="spellStart"/>
      <w:r>
        <w:t>Чидово</w:t>
      </w:r>
      <w:proofErr w:type="spellEnd"/>
      <w:r>
        <w:t xml:space="preserve">, д. </w:t>
      </w:r>
      <w:proofErr w:type="spellStart"/>
      <w:r>
        <w:t>Околок</w:t>
      </w:r>
      <w:proofErr w:type="spellEnd"/>
      <w:r>
        <w:t xml:space="preserve">, д. </w:t>
      </w:r>
      <w:proofErr w:type="spellStart"/>
      <w:r>
        <w:t>Рекеничи</w:t>
      </w:r>
      <w:proofErr w:type="spellEnd"/>
      <w:r>
        <w:t xml:space="preserve">, д. Новинка, д. Кондуши, д. </w:t>
      </w:r>
      <w:proofErr w:type="spellStart"/>
      <w:r>
        <w:t>Шапша</w:t>
      </w:r>
      <w:proofErr w:type="spellEnd"/>
      <w:r>
        <w:t xml:space="preserve">, д. </w:t>
      </w:r>
      <w:proofErr w:type="spellStart"/>
      <w:r>
        <w:t>Тененичи</w:t>
      </w:r>
      <w:proofErr w:type="spellEnd"/>
      <w:r>
        <w:t xml:space="preserve">, д. </w:t>
      </w:r>
      <w:proofErr w:type="spellStart"/>
      <w:r>
        <w:t>Харевщина</w:t>
      </w:r>
      <w:proofErr w:type="spellEnd"/>
      <w:r>
        <w:t>, д. Выползово, д. Фомино.</w:t>
      </w:r>
      <w:proofErr w:type="gramEnd"/>
    </w:p>
    <w:sectPr w:rsidR="00CC4EB6" w:rsidSect="007A14DD">
      <w:pgSz w:w="11905" w:h="16838"/>
      <w:pgMar w:top="1134" w:right="1701" w:bottom="1134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4DD"/>
    <w:rsid w:val="007A14DD"/>
    <w:rsid w:val="00CC4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14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14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14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2169</Words>
  <Characters>12366</Characters>
  <Application>Microsoft Office Word</Application>
  <DocSecurity>0</DocSecurity>
  <Lines>103</Lines>
  <Paragraphs>29</Paragraphs>
  <ScaleCrop>false</ScaleCrop>
  <Company/>
  <LinksUpToDate>false</LinksUpToDate>
  <CharactersWithSpaces>14506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4700-00-626</dc:creator>
  <cp:lastModifiedBy>4700-00-626</cp:lastModifiedBy>
  <cp:revision>1</cp:revision>
  <dcterms:created xsi:type="dcterms:W3CDTF">2020-06-16T15:42:00Z</dcterms:created>
  <dcterms:modified xsi:type="dcterms:W3CDTF">2020-06-16T15:47:00Z</dcterms:modified>
</cp:coreProperties>
</file>